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07" w:rsidRPr="00796B7C" w:rsidRDefault="00FA3C23" w:rsidP="00F3506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581025" cy="5429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207" w:rsidRPr="00796B7C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796B7C">
        <w:rPr>
          <w:rFonts w:ascii="Tahoma" w:hAnsi="Tahoma" w:cs="Tahoma"/>
          <w:sz w:val="20"/>
          <w:szCs w:val="20"/>
        </w:rPr>
        <w:t xml:space="preserve">ΕΛΛΗΝΙΚΗ  ΔΗΜΟΚΡΑΤΙΑ </w:t>
      </w:r>
      <w:r w:rsidR="005921DB" w:rsidRPr="00796B7C">
        <w:rPr>
          <w:rFonts w:ascii="Tahoma" w:hAnsi="Tahoma" w:cs="Tahoma"/>
          <w:sz w:val="20"/>
          <w:szCs w:val="20"/>
        </w:rPr>
        <w:t xml:space="preserve">                               </w:t>
      </w:r>
      <w:r w:rsidR="00F4520A" w:rsidRPr="00796B7C">
        <w:rPr>
          <w:rFonts w:ascii="Tahoma" w:hAnsi="Tahoma" w:cs="Tahoma"/>
          <w:sz w:val="20"/>
          <w:szCs w:val="20"/>
        </w:rPr>
        <w:t xml:space="preserve">                  </w:t>
      </w:r>
    </w:p>
    <w:p w:rsidR="00E53207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796B7C">
        <w:rPr>
          <w:rFonts w:ascii="Tahoma" w:hAnsi="Tahoma" w:cs="Tahoma"/>
          <w:sz w:val="20"/>
          <w:szCs w:val="20"/>
        </w:rPr>
        <w:t xml:space="preserve">ΥΠΟΥΡΓΕΙΟ </w:t>
      </w:r>
      <w:r w:rsidRPr="00F3506A">
        <w:rPr>
          <w:rFonts w:ascii="Tahoma" w:hAnsi="Tahoma" w:cs="Tahoma"/>
          <w:sz w:val="20"/>
          <w:szCs w:val="20"/>
        </w:rPr>
        <w:t xml:space="preserve">ΥΓΕΙΑΣ       </w:t>
      </w:r>
      <w:r w:rsidR="00FB00DB" w:rsidRPr="00F3506A">
        <w:rPr>
          <w:rFonts w:ascii="Tahoma" w:hAnsi="Tahoma" w:cs="Tahoma"/>
          <w:sz w:val="20"/>
          <w:szCs w:val="20"/>
        </w:rPr>
        <w:t xml:space="preserve">                       </w:t>
      </w:r>
      <w:r w:rsidR="00FC5713" w:rsidRPr="00F3506A">
        <w:rPr>
          <w:rFonts w:ascii="Tahoma" w:hAnsi="Tahoma" w:cs="Tahoma"/>
          <w:sz w:val="20"/>
          <w:szCs w:val="20"/>
        </w:rPr>
        <w:t xml:space="preserve">                             </w:t>
      </w:r>
      <w:r w:rsidR="00FB00DB" w:rsidRPr="00F3506A">
        <w:rPr>
          <w:rFonts w:ascii="Tahoma" w:hAnsi="Tahoma" w:cs="Tahoma"/>
          <w:sz w:val="20"/>
          <w:szCs w:val="20"/>
        </w:rPr>
        <w:t>Αγρίνιο</w:t>
      </w:r>
      <w:r w:rsidR="00D54EDA" w:rsidRPr="00F3506A">
        <w:rPr>
          <w:rFonts w:ascii="Tahoma" w:hAnsi="Tahoma" w:cs="Tahoma"/>
          <w:sz w:val="20"/>
          <w:szCs w:val="20"/>
        </w:rPr>
        <w:t>,</w:t>
      </w:r>
      <w:r w:rsidR="009064D6">
        <w:rPr>
          <w:rFonts w:ascii="Tahoma" w:hAnsi="Tahoma" w:cs="Tahoma"/>
          <w:sz w:val="20"/>
          <w:szCs w:val="20"/>
        </w:rPr>
        <w:t>07</w:t>
      </w:r>
      <w:r w:rsidR="00F3506A" w:rsidRPr="00F3506A">
        <w:rPr>
          <w:rFonts w:ascii="Tahoma" w:hAnsi="Tahoma" w:cs="Tahoma"/>
          <w:sz w:val="20"/>
          <w:szCs w:val="20"/>
        </w:rPr>
        <w:t>/</w:t>
      </w:r>
      <w:r w:rsidR="00FA3C23">
        <w:rPr>
          <w:rFonts w:ascii="Tahoma" w:hAnsi="Tahoma" w:cs="Tahoma"/>
          <w:sz w:val="20"/>
          <w:szCs w:val="20"/>
        </w:rPr>
        <w:t>0</w:t>
      </w:r>
      <w:r w:rsidR="00EE0180">
        <w:rPr>
          <w:rFonts w:ascii="Tahoma" w:hAnsi="Tahoma" w:cs="Tahoma"/>
          <w:sz w:val="20"/>
          <w:szCs w:val="20"/>
        </w:rPr>
        <w:t>3</w:t>
      </w:r>
      <w:r w:rsidR="00F3506A" w:rsidRPr="00F3506A">
        <w:rPr>
          <w:rFonts w:ascii="Tahoma" w:hAnsi="Tahoma" w:cs="Tahoma"/>
          <w:sz w:val="20"/>
          <w:szCs w:val="20"/>
        </w:rPr>
        <w:t>/20</w:t>
      </w:r>
      <w:r w:rsidR="00FA3C23">
        <w:rPr>
          <w:rFonts w:ascii="Tahoma" w:hAnsi="Tahoma" w:cs="Tahoma"/>
          <w:sz w:val="20"/>
          <w:szCs w:val="20"/>
        </w:rPr>
        <w:t>2</w:t>
      </w:r>
      <w:r w:rsidR="00EE0180">
        <w:rPr>
          <w:rFonts w:ascii="Tahoma" w:hAnsi="Tahoma" w:cs="Tahoma"/>
          <w:sz w:val="20"/>
          <w:szCs w:val="20"/>
        </w:rPr>
        <w:t>5</w:t>
      </w:r>
      <w:r w:rsidRPr="00F3506A">
        <w:rPr>
          <w:rFonts w:ascii="Tahoma" w:hAnsi="Tahoma" w:cs="Tahoma"/>
          <w:sz w:val="20"/>
          <w:szCs w:val="20"/>
        </w:rPr>
        <w:t xml:space="preserve">                                           </w:t>
      </w:r>
    </w:p>
    <w:p w:rsidR="00E53207" w:rsidRPr="00B5235A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ΥΓΕΙΟΝΟΜΙΚΗ ΠΕΡΙΦΕΡΕΙΑ                   </w:t>
      </w:r>
      <w:r w:rsidR="00B90A44" w:rsidRPr="00F3506A">
        <w:rPr>
          <w:rFonts w:ascii="Tahoma" w:hAnsi="Tahoma" w:cs="Tahoma"/>
          <w:sz w:val="20"/>
          <w:szCs w:val="20"/>
        </w:rPr>
        <w:t xml:space="preserve">                            </w:t>
      </w:r>
      <w:proofErr w:type="spellStart"/>
      <w:r w:rsidRPr="00F3506A">
        <w:rPr>
          <w:rFonts w:ascii="Tahoma" w:hAnsi="Tahoma" w:cs="Tahoma"/>
          <w:sz w:val="20"/>
          <w:szCs w:val="20"/>
        </w:rPr>
        <w:t>Αριθμ</w:t>
      </w:r>
      <w:proofErr w:type="spellEnd"/>
      <w:r w:rsidRPr="00F3506A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F3506A">
        <w:rPr>
          <w:rFonts w:ascii="Tahoma" w:hAnsi="Tahoma" w:cs="Tahoma"/>
          <w:sz w:val="20"/>
          <w:szCs w:val="20"/>
        </w:rPr>
        <w:t>Πρωτ.</w:t>
      </w:r>
      <w:r w:rsidR="009064D6">
        <w:rPr>
          <w:rFonts w:ascii="Tahoma" w:hAnsi="Tahoma" w:cs="Tahoma"/>
          <w:sz w:val="20"/>
          <w:szCs w:val="20"/>
        </w:rPr>
        <w:t>ΔΥ</w:t>
      </w:r>
      <w:proofErr w:type="spellEnd"/>
      <w:r w:rsidR="004B02BD">
        <w:rPr>
          <w:rFonts w:ascii="Tahoma" w:hAnsi="Tahoma" w:cs="Tahoma"/>
          <w:sz w:val="20"/>
          <w:szCs w:val="20"/>
        </w:rPr>
        <w:t xml:space="preserve"> </w:t>
      </w:r>
    </w:p>
    <w:p w:rsidR="00FB00DB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ΔΥΤΙΚΗΣ ΕΛΛΑΔΑΣ                                                                           </w:t>
      </w:r>
      <w:r w:rsidR="00FB00DB" w:rsidRPr="00F3506A">
        <w:rPr>
          <w:rFonts w:ascii="Tahoma" w:hAnsi="Tahoma" w:cs="Tahoma"/>
          <w:b/>
          <w:bCs/>
          <w:sz w:val="20"/>
          <w:szCs w:val="20"/>
        </w:rPr>
        <w:t xml:space="preserve">                                          </w:t>
      </w:r>
    </w:p>
    <w:p w:rsidR="000E46C2" w:rsidRPr="00F3506A" w:rsidRDefault="00D54EDA" w:rsidP="00F3506A">
      <w:pPr>
        <w:jc w:val="both"/>
        <w:rPr>
          <w:rFonts w:ascii="Tahoma" w:hAnsi="Tahoma" w:cs="Tahoma"/>
          <w:bCs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ΓΕΝΙΚΟ ΝΟΣΟΚΟΜΕΙΟ </w:t>
      </w:r>
      <w:r w:rsidR="00FB00DB" w:rsidRPr="00F3506A">
        <w:rPr>
          <w:rFonts w:ascii="Tahoma" w:hAnsi="Tahoma" w:cs="Tahoma"/>
          <w:sz w:val="20"/>
          <w:szCs w:val="20"/>
        </w:rPr>
        <w:t xml:space="preserve">ΑΙΤΩΛ/ΝΙΑΣ  </w:t>
      </w:r>
    </w:p>
    <w:p w:rsidR="003A05F6" w:rsidRPr="003A05F6" w:rsidRDefault="000E46C2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>ΝΟΣΗΛΕΥΤΙΚΗ ΜΟΝΑΔΑ ΑΓΡΙΝΙΟΥ</w:t>
      </w:r>
      <w:r w:rsidR="00FB00DB" w:rsidRPr="00F3506A">
        <w:rPr>
          <w:rFonts w:ascii="Tahoma" w:hAnsi="Tahoma" w:cs="Tahoma"/>
          <w:sz w:val="20"/>
          <w:szCs w:val="20"/>
        </w:rPr>
        <w:t xml:space="preserve">      </w:t>
      </w:r>
      <w:r w:rsidR="00E53207" w:rsidRPr="00F3506A">
        <w:rPr>
          <w:rFonts w:ascii="Tahoma" w:hAnsi="Tahoma" w:cs="Tahoma"/>
          <w:sz w:val="20"/>
          <w:szCs w:val="20"/>
        </w:rPr>
        <w:t xml:space="preserve">     </w:t>
      </w:r>
      <w:r w:rsidR="003F02BD" w:rsidRPr="00F3506A">
        <w:rPr>
          <w:rFonts w:ascii="Tahoma" w:hAnsi="Tahoma" w:cs="Tahoma"/>
          <w:sz w:val="20"/>
          <w:szCs w:val="20"/>
        </w:rPr>
        <w:tab/>
      </w:r>
      <w:r w:rsidR="003F02BD" w:rsidRPr="00F3506A">
        <w:rPr>
          <w:rFonts w:ascii="Tahoma" w:hAnsi="Tahoma" w:cs="Tahoma"/>
          <w:sz w:val="20"/>
          <w:szCs w:val="20"/>
        </w:rPr>
        <w:tab/>
        <w:t xml:space="preserve">     </w:t>
      </w:r>
    </w:p>
    <w:p w:rsidR="00E53207" w:rsidRPr="00572AA0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 ΔΙΕΥΘΥΝΣΗ : ΔΙΟΙΚΗΤΙΚΟΥ                                    </w:t>
      </w:r>
      <w:r w:rsidR="003F02BD" w:rsidRPr="00F3506A">
        <w:rPr>
          <w:rFonts w:ascii="Tahoma" w:hAnsi="Tahoma" w:cs="Tahoma"/>
          <w:sz w:val="20"/>
          <w:szCs w:val="20"/>
        </w:rPr>
        <w:tab/>
        <w:t xml:space="preserve">     </w:t>
      </w:r>
    </w:p>
    <w:p w:rsidR="00E53207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>ΤΜΗΜΑ :  ΟΙΚΟΝΟΜΙΚΟ</w:t>
      </w:r>
      <w:r w:rsidR="00E64797" w:rsidRPr="00F3506A">
        <w:rPr>
          <w:rFonts w:ascii="Tahoma" w:hAnsi="Tahoma" w:cs="Tahoma"/>
          <w:sz w:val="20"/>
          <w:szCs w:val="20"/>
        </w:rPr>
        <w:t>-ΓΡ.ΠΡΟΜΗΘΕΙΩΝ</w:t>
      </w:r>
      <w:r w:rsidR="003F02BD" w:rsidRPr="00F3506A">
        <w:rPr>
          <w:rFonts w:ascii="Tahoma" w:hAnsi="Tahoma" w:cs="Tahoma"/>
          <w:sz w:val="20"/>
          <w:szCs w:val="20"/>
        </w:rPr>
        <w:t xml:space="preserve">  </w:t>
      </w:r>
      <w:r w:rsidR="00B72A16" w:rsidRPr="00F3506A">
        <w:rPr>
          <w:rFonts w:ascii="Tahoma" w:hAnsi="Tahoma" w:cs="Tahoma"/>
          <w:sz w:val="20"/>
          <w:szCs w:val="20"/>
        </w:rPr>
        <w:t xml:space="preserve">                       </w:t>
      </w:r>
    </w:p>
    <w:p w:rsidR="00B72A16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3506A">
        <w:rPr>
          <w:rFonts w:ascii="Tahoma" w:hAnsi="Tahoma" w:cs="Tahoma"/>
          <w:sz w:val="20"/>
          <w:szCs w:val="20"/>
        </w:rPr>
        <w:t>Ταχ</w:t>
      </w:r>
      <w:proofErr w:type="spellEnd"/>
      <w:r w:rsidRPr="00F3506A">
        <w:rPr>
          <w:rFonts w:ascii="Tahoma" w:hAnsi="Tahoma" w:cs="Tahoma"/>
          <w:sz w:val="20"/>
          <w:szCs w:val="20"/>
        </w:rPr>
        <w:t>. Δ/</w:t>
      </w:r>
      <w:proofErr w:type="spellStart"/>
      <w:r w:rsidRPr="00F3506A">
        <w:rPr>
          <w:rFonts w:ascii="Tahoma" w:hAnsi="Tahoma" w:cs="Tahoma"/>
          <w:sz w:val="20"/>
          <w:szCs w:val="20"/>
        </w:rPr>
        <w:t>νση</w:t>
      </w:r>
      <w:proofErr w:type="spellEnd"/>
      <w:r w:rsidRPr="00F3506A">
        <w:rPr>
          <w:rFonts w:ascii="Tahoma" w:hAnsi="Tahoma" w:cs="Tahoma"/>
          <w:sz w:val="20"/>
          <w:szCs w:val="20"/>
        </w:rPr>
        <w:t xml:space="preserve"> :</w:t>
      </w:r>
      <w:r w:rsidR="002536C2" w:rsidRPr="00F3506A">
        <w:rPr>
          <w:rFonts w:ascii="Tahoma" w:hAnsi="Tahoma" w:cs="Tahoma"/>
          <w:sz w:val="20"/>
          <w:szCs w:val="20"/>
        </w:rPr>
        <w:t>3o ΧΛΜ ΑΓΡΙΝΙΟΥ-ΑΝΤΙΡΙΟΥ</w:t>
      </w:r>
      <w:r w:rsidRPr="00F3506A">
        <w:rPr>
          <w:rFonts w:ascii="Tahoma" w:hAnsi="Tahoma" w:cs="Tahoma"/>
          <w:sz w:val="20"/>
          <w:szCs w:val="20"/>
        </w:rPr>
        <w:t xml:space="preserve"> </w:t>
      </w:r>
      <w:r w:rsidR="003F02BD" w:rsidRPr="00F3506A">
        <w:rPr>
          <w:rFonts w:ascii="Tahoma" w:hAnsi="Tahoma" w:cs="Tahoma"/>
          <w:sz w:val="20"/>
          <w:szCs w:val="20"/>
        </w:rPr>
        <w:tab/>
      </w:r>
      <w:r w:rsidR="003F02BD" w:rsidRPr="00F3506A">
        <w:rPr>
          <w:rFonts w:ascii="Tahoma" w:hAnsi="Tahoma" w:cs="Tahoma"/>
          <w:sz w:val="20"/>
          <w:szCs w:val="20"/>
        </w:rPr>
        <w:tab/>
        <w:t xml:space="preserve">     </w:t>
      </w:r>
    </w:p>
    <w:p w:rsidR="00FA3C23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Πληροφορίες : </w:t>
      </w:r>
      <w:proofErr w:type="spellStart"/>
      <w:r w:rsidR="00EE0180">
        <w:rPr>
          <w:rFonts w:ascii="Tahoma" w:hAnsi="Tahoma" w:cs="Tahoma"/>
          <w:sz w:val="20"/>
          <w:szCs w:val="20"/>
        </w:rPr>
        <w:t>Πιτσινέλης</w:t>
      </w:r>
      <w:proofErr w:type="spellEnd"/>
      <w:r w:rsidR="00EE0180">
        <w:rPr>
          <w:rFonts w:ascii="Tahoma" w:hAnsi="Tahoma" w:cs="Tahoma"/>
          <w:sz w:val="20"/>
          <w:szCs w:val="20"/>
        </w:rPr>
        <w:t xml:space="preserve"> Σωτήρης</w:t>
      </w:r>
      <w:r w:rsidR="009427D9">
        <w:rPr>
          <w:rFonts w:ascii="Tahoma" w:hAnsi="Tahoma" w:cs="Tahoma"/>
          <w:sz w:val="20"/>
          <w:szCs w:val="20"/>
        </w:rPr>
        <w:t xml:space="preserve">                          </w:t>
      </w:r>
    </w:p>
    <w:p w:rsidR="00E53207" w:rsidRPr="00F3506A" w:rsidRDefault="000E46C2" w:rsidP="00F3506A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F3506A">
        <w:rPr>
          <w:rFonts w:ascii="Tahoma" w:hAnsi="Tahoma" w:cs="Tahoma"/>
          <w:sz w:val="20"/>
          <w:szCs w:val="20"/>
        </w:rPr>
        <w:t>Τηλ</w:t>
      </w:r>
      <w:proofErr w:type="spellEnd"/>
      <w:r w:rsidRPr="00F3506A">
        <w:rPr>
          <w:rFonts w:ascii="Tahoma" w:hAnsi="Tahoma" w:cs="Tahoma"/>
          <w:sz w:val="20"/>
          <w:szCs w:val="20"/>
        </w:rPr>
        <w:t>. : 26413-61</w:t>
      </w:r>
      <w:r w:rsidR="00437432" w:rsidRPr="00F3506A">
        <w:rPr>
          <w:rFonts w:ascii="Tahoma" w:hAnsi="Tahoma" w:cs="Tahoma"/>
          <w:sz w:val="20"/>
          <w:szCs w:val="20"/>
        </w:rPr>
        <w:t>2</w:t>
      </w:r>
      <w:r w:rsidR="007938C7" w:rsidRPr="00F3506A">
        <w:rPr>
          <w:rFonts w:ascii="Tahoma" w:hAnsi="Tahoma" w:cs="Tahoma"/>
          <w:sz w:val="20"/>
          <w:szCs w:val="20"/>
        </w:rPr>
        <w:t>30</w:t>
      </w:r>
      <w:r w:rsidR="002536C2" w:rsidRPr="00F3506A">
        <w:rPr>
          <w:rFonts w:ascii="Tahoma" w:hAnsi="Tahoma" w:cs="Tahoma"/>
          <w:sz w:val="20"/>
          <w:szCs w:val="20"/>
        </w:rPr>
        <w:t>-233</w:t>
      </w:r>
      <w:r w:rsidRPr="00F3506A">
        <w:rPr>
          <w:rFonts w:ascii="Tahoma" w:hAnsi="Tahoma" w:cs="Tahoma"/>
          <w:sz w:val="20"/>
          <w:szCs w:val="20"/>
        </w:rPr>
        <w:t xml:space="preserve">                               </w:t>
      </w:r>
      <w:r w:rsidR="00207DF5" w:rsidRPr="00F3506A">
        <w:rPr>
          <w:rFonts w:ascii="Tahoma" w:hAnsi="Tahoma" w:cs="Tahoma"/>
          <w:sz w:val="20"/>
          <w:szCs w:val="20"/>
        </w:rPr>
        <w:t xml:space="preserve">                   </w:t>
      </w:r>
    </w:p>
    <w:p w:rsidR="00E53207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</w:p>
    <w:p w:rsidR="005A13C8" w:rsidRPr="00F3506A" w:rsidRDefault="00E53207" w:rsidP="00F3506A">
      <w:pPr>
        <w:jc w:val="both"/>
        <w:rPr>
          <w:rFonts w:ascii="Tahoma" w:hAnsi="Tahoma" w:cs="Tahoma"/>
          <w:sz w:val="20"/>
          <w:szCs w:val="20"/>
        </w:rPr>
      </w:pPr>
      <w:r w:rsidRPr="00F3506A">
        <w:rPr>
          <w:rFonts w:ascii="Tahoma" w:hAnsi="Tahoma" w:cs="Tahoma"/>
          <w:sz w:val="20"/>
          <w:szCs w:val="20"/>
        </w:rPr>
        <w:t xml:space="preserve">          </w:t>
      </w:r>
    </w:p>
    <w:p w:rsidR="006C494A" w:rsidRPr="00274B2E" w:rsidRDefault="00E53207" w:rsidP="00F3506A">
      <w:pPr>
        <w:jc w:val="both"/>
        <w:rPr>
          <w:rFonts w:ascii="Tahoma" w:hAnsi="Tahoma" w:cs="Tahoma"/>
          <w:b/>
          <w:sz w:val="20"/>
          <w:szCs w:val="20"/>
        </w:rPr>
      </w:pPr>
      <w:r w:rsidRPr="00F3506A">
        <w:rPr>
          <w:rFonts w:ascii="Tahoma" w:hAnsi="Tahoma" w:cs="Tahoma"/>
          <w:b/>
          <w:sz w:val="20"/>
          <w:szCs w:val="20"/>
        </w:rPr>
        <w:t xml:space="preserve"> </w:t>
      </w:r>
      <w:r w:rsidRPr="00274B2E">
        <w:rPr>
          <w:rFonts w:ascii="Tahoma" w:hAnsi="Tahoma" w:cs="Tahoma"/>
          <w:b/>
          <w:sz w:val="20"/>
          <w:szCs w:val="20"/>
        </w:rPr>
        <w:t>ΘΕΜΑ:</w:t>
      </w:r>
      <w:r w:rsidR="00437432" w:rsidRPr="00274B2E">
        <w:rPr>
          <w:rFonts w:ascii="Tahoma" w:hAnsi="Tahoma" w:cs="Tahoma"/>
          <w:b/>
          <w:sz w:val="20"/>
          <w:szCs w:val="20"/>
        </w:rPr>
        <w:t xml:space="preserve"> </w:t>
      </w:r>
      <w:r w:rsidR="00EE0180" w:rsidRPr="00EE0180">
        <w:rPr>
          <w:rFonts w:ascii="Tahoma" w:hAnsi="Tahoma" w:cs="Tahoma"/>
          <w:b/>
          <w:sz w:val="20"/>
          <w:szCs w:val="20"/>
        </w:rPr>
        <w:t xml:space="preserve">«ΔΙΕΝΕΡΓΕΙΑ </w:t>
      </w:r>
      <w:r w:rsidR="005B1D66" w:rsidRPr="00EE0180">
        <w:rPr>
          <w:rFonts w:ascii="Tahoma" w:hAnsi="Tahoma" w:cs="Tahoma"/>
          <w:b/>
          <w:sz w:val="20"/>
          <w:szCs w:val="20"/>
        </w:rPr>
        <w:t xml:space="preserve">ΗΛΕΚΤΡΟΝΙΚΟΥ ΔΙΑΓΩΝΙΣΜΟΥ ΓΙΑ </w:t>
      </w:r>
      <w:r w:rsidR="00274B2E" w:rsidRPr="00EE0180">
        <w:rPr>
          <w:rFonts w:ascii="Tahoma" w:hAnsi="Tahoma" w:cs="Tahoma"/>
          <w:b/>
          <w:color w:val="000000"/>
          <w:sz w:val="20"/>
          <w:szCs w:val="20"/>
          <w:lang w:eastAsia="ar-SA"/>
        </w:rPr>
        <w:t>ΤΗΝ</w:t>
      </w:r>
      <w:r w:rsidR="004E4FBC" w:rsidRPr="00EE0180">
        <w:rPr>
          <w:rFonts w:ascii="Tahoma" w:hAnsi="Tahoma" w:cs="Tahoma"/>
          <w:b/>
          <w:color w:val="000000"/>
          <w:sz w:val="20"/>
          <w:szCs w:val="20"/>
          <w:lang w:eastAsia="ar-SA"/>
        </w:rPr>
        <w:t xml:space="preserve"> </w:t>
      </w:r>
      <w:r w:rsidR="004E4FBC" w:rsidRPr="00EE0180">
        <w:rPr>
          <w:rFonts w:ascii="Tahoma" w:hAnsi="Tahoma" w:cs="Tahoma"/>
          <w:b/>
          <w:sz w:val="20"/>
          <w:szCs w:val="20"/>
        </w:rPr>
        <w:t>ΠΡΟΜΗΘΕΙΑ</w:t>
      </w:r>
      <w:r w:rsidR="00274B2E" w:rsidRPr="00EE0180">
        <w:rPr>
          <w:rFonts w:ascii="Tahoma" w:hAnsi="Tahoma" w:cs="Tahoma"/>
          <w:b/>
          <w:sz w:val="20"/>
          <w:szCs w:val="20"/>
        </w:rPr>
        <w:t xml:space="preserve"> </w:t>
      </w:r>
      <w:r w:rsidR="00EE0180" w:rsidRPr="00EE0180">
        <w:rPr>
          <w:rFonts w:ascii="Tahoma" w:hAnsi="Tahoma" w:cs="Tahoma"/>
          <w:b/>
          <w:color w:val="000000"/>
          <w:sz w:val="20"/>
          <w:szCs w:val="20"/>
        </w:rPr>
        <w:t>ΑΝΤΙΔΡΑΣΤΗΡΙΑ ΚΑΙ ΣΚΙΑΓΡΑΦΙΚΕΣ ΟΥΣΙΕΣ</w:t>
      </w:r>
      <w:r w:rsidR="004B02BD" w:rsidRPr="00EE0180">
        <w:rPr>
          <w:rFonts w:ascii="Tahoma" w:hAnsi="Tahoma" w:cs="Tahoma"/>
          <w:b/>
          <w:sz w:val="20"/>
          <w:szCs w:val="20"/>
        </w:rPr>
        <w:t xml:space="preserve"> </w:t>
      </w:r>
      <w:r w:rsidR="005B1D66" w:rsidRPr="00EE0180">
        <w:rPr>
          <w:rFonts w:ascii="Tahoma" w:hAnsi="Tahoma" w:cs="Tahoma"/>
          <w:b/>
          <w:sz w:val="20"/>
          <w:szCs w:val="20"/>
        </w:rPr>
        <w:t>ΓΙΑ ΤΟ ΓΕΝΙΚΟ ΝΟΣΟΚΟΜΕΙΟ ΑΙΤΩΛΟΑΚΑΡΝΑΝΙΑΣ-Ν</w:t>
      </w:r>
      <w:r w:rsidR="00B04A88" w:rsidRPr="00EE0180">
        <w:rPr>
          <w:rFonts w:ascii="Tahoma" w:hAnsi="Tahoma" w:cs="Tahoma"/>
          <w:b/>
          <w:sz w:val="20"/>
          <w:szCs w:val="20"/>
        </w:rPr>
        <w:t>.</w:t>
      </w:r>
      <w:r w:rsidR="005B1D66" w:rsidRPr="00EE0180">
        <w:rPr>
          <w:rFonts w:ascii="Tahoma" w:hAnsi="Tahoma" w:cs="Tahoma"/>
          <w:b/>
          <w:sz w:val="20"/>
          <w:szCs w:val="20"/>
        </w:rPr>
        <w:t xml:space="preserve"> Μ</w:t>
      </w:r>
      <w:r w:rsidR="00B04A88" w:rsidRPr="00EE0180">
        <w:rPr>
          <w:rFonts w:ascii="Tahoma" w:hAnsi="Tahoma" w:cs="Tahoma"/>
          <w:b/>
          <w:sz w:val="20"/>
          <w:szCs w:val="20"/>
        </w:rPr>
        <w:t>.</w:t>
      </w:r>
      <w:r w:rsidR="005B1D66" w:rsidRPr="00EE0180">
        <w:rPr>
          <w:rFonts w:ascii="Tahoma" w:hAnsi="Tahoma" w:cs="Tahoma"/>
          <w:b/>
          <w:sz w:val="20"/>
          <w:szCs w:val="20"/>
        </w:rPr>
        <w:t xml:space="preserve"> ΑΓΡΙΝΙΟΥ»</w:t>
      </w:r>
      <w:r w:rsidR="00F3506A" w:rsidRPr="00EE0180">
        <w:rPr>
          <w:rFonts w:ascii="Tahoma" w:hAnsi="Tahoma" w:cs="Tahoma"/>
          <w:b/>
          <w:sz w:val="20"/>
          <w:szCs w:val="20"/>
        </w:rPr>
        <w:t>.</w:t>
      </w:r>
      <w:r w:rsidR="00F3506A" w:rsidRPr="00274B2E">
        <w:rPr>
          <w:rFonts w:ascii="Tahoma" w:hAnsi="Tahoma" w:cs="Tahoma"/>
          <w:b/>
          <w:sz w:val="20"/>
          <w:szCs w:val="20"/>
        </w:rPr>
        <w:t xml:space="preserve">  </w:t>
      </w:r>
    </w:p>
    <w:p w:rsidR="005A13C8" w:rsidRPr="00274B2E" w:rsidRDefault="005A13C8" w:rsidP="00F3506A">
      <w:pPr>
        <w:jc w:val="both"/>
        <w:rPr>
          <w:rFonts w:ascii="Tahoma" w:hAnsi="Tahoma" w:cs="Tahoma"/>
          <w:b/>
          <w:sz w:val="20"/>
          <w:szCs w:val="20"/>
        </w:rPr>
      </w:pPr>
    </w:p>
    <w:p w:rsidR="000E2D7F" w:rsidRPr="00B5235A" w:rsidRDefault="00B04A88" w:rsidP="00572AA0">
      <w:pPr>
        <w:ind w:firstLine="720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>Ε</w:t>
      </w:r>
      <w:r w:rsidR="00195C2E" w:rsidRPr="00572AA0">
        <w:rPr>
          <w:rFonts w:ascii="Tahoma" w:hAnsi="Tahoma" w:cs="Tahoma"/>
          <w:color w:val="000000"/>
          <w:sz w:val="20"/>
          <w:szCs w:val="20"/>
          <w:lang w:eastAsia="ar-SA"/>
        </w:rPr>
        <w:t>νόψει</w:t>
      </w:r>
      <w:r w:rsidR="005A13C8" w:rsidRPr="00274B2E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  <w:r w:rsidR="00ED36A9" w:rsidRPr="00274B2E">
        <w:rPr>
          <w:rFonts w:ascii="Tahoma" w:hAnsi="Tahoma" w:cs="Tahoma"/>
          <w:color w:val="000000"/>
          <w:sz w:val="20"/>
          <w:szCs w:val="20"/>
          <w:lang w:eastAsia="ar-SA"/>
        </w:rPr>
        <w:t>διενέργειας</w:t>
      </w:r>
      <w:r w:rsidR="00EE0180">
        <w:rPr>
          <w:rFonts w:ascii="Tahoma" w:hAnsi="Tahoma" w:cs="Tahoma"/>
          <w:color w:val="000000"/>
          <w:sz w:val="20"/>
          <w:szCs w:val="20"/>
          <w:lang w:eastAsia="ar-SA"/>
        </w:rPr>
        <w:t xml:space="preserve"> νέου</w:t>
      </w:r>
      <w:r w:rsidR="00195C2E" w:rsidRPr="00274B2E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  <w:r w:rsidR="000E2D7F" w:rsidRPr="004B02BD">
        <w:rPr>
          <w:rFonts w:ascii="Tahoma" w:hAnsi="Tahoma" w:cs="Tahoma"/>
          <w:sz w:val="20"/>
          <w:szCs w:val="20"/>
        </w:rPr>
        <w:t xml:space="preserve">ηλεκτρονικού </w:t>
      </w:r>
      <w:r w:rsidR="00ED36A9" w:rsidRPr="004E4FBC">
        <w:rPr>
          <w:rFonts w:ascii="Tahoma" w:hAnsi="Tahoma" w:cs="Tahoma"/>
          <w:sz w:val="20"/>
          <w:szCs w:val="20"/>
        </w:rPr>
        <w:t xml:space="preserve">ανοικτού </w:t>
      </w:r>
      <w:r w:rsidR="000E2D7F" w:rsidRPr="004E4FBC">
        <w:rPr>
          <w:rFonts w:ascii="Tahoma" w:hAnsi="Tahoma" w:cs="Tahoma"/>
          <w:sz w:val="20"/>
          <w:szCs w:val="20"/>
        </w:rPr>
        <w:t>δ</w:t>
      </w:r>
      <w:r w:rsidR="00195C2E" w:rsidRPr="004E4FBC">
        <w:rPr>
          <w:rFonts w:ascii="Tahoma" w:hAnsi="Tahoma" w:cs="Tahoma"/>
          <w:sz w:val="20"/>
          <w:szCs w:val="20"/>
        </w:rPr>
        <w:t>ιαγωνισμού</w:t>
      </w:r>
      <w:r w:rsidR="00EE0180">
        <w:rPr>
          <w:rFonts w:ascii="Tahoma" w:hAnsi="Tahoma" w:cs="Tahoma"/>
          <w:sz w:val="20"/>
          <w:szCs w:val="20"/>
        </w:rPr>
        <w:t xml:space="preserve"> για δύο (2) έτη</w:t>
      </w:r>
      <w:r w:rsidR="00195C2E" w:rsidRPr="004E4FBC">
        <w:rPr>
          <w:rFonts w:ascii="Tahoma" w:hAnsi="Tahoma" w:cs="Tahoma"/>
          <w:sz w:val="20"/>
          <w:szCs w:val="20"/>
        </w:rPr>
        <w:t xml:space="preserve">, </w:t>
      </w:r>
      <w:r w:rsidR="004E4FBC" w:rsidRPr="004E4FBC">
        <w:rPr>
          <w:rFonts w:ascii="Tahoma" w:hAnsi="Tahoma" w:cs="Tahoma"/>
          <w:sz w:val="20"/>
          <w:szCs w:val="20"/>
        </w:rPr>
        <w:t xml:space="preserve">για την προμήθεια </w:t>
      </w:r>
      <w:r w:rsidR="004B02BD">
        <w:rPr>
          <w:rFonts w:ascii="Tahoma" w:hAnsi="Tahoma" w:cs="Tahoma"/>
          <w:sz w:val="20"/>
          <w:szCs w:val="20"/>
        </w:rPr>
        <w:t>«</w:t>
      </w:r>
      <w:r w:rsidR="00EE0180" w:rsidRPr="00EE0180">
        <w:rPr>
          <w:rFonts w:ascii="Tahoma" w:hAnsi="Tahoma" w:cs="Tahoma"/>
          <w:color w:val="000000"/>
          <w:sz w:val="20"/>
          <w:szCs w:val="20"/>
        </w:rPr>
        <w:t>ΑΝΤΙΔΡΑΣΤΗΡΙΑ ΚΑΙ ΣΚΙΑΓΡΑΦΙΚΕΣ ΟΥΣΙΕΣ</w:t>
      </w:r>
      <w:r w:rsidR="004B02BD" w:rsidRPr="004B02BD">
        <w:rPr>
          <w:rFonts w:ascii="Tahoma" w:hAnsi="Tahoma" w:cs="Tahoma"/>
          <w:sz w:val="20"/>
          <w:szCs w:val="20"/>
        </w:rPr>
        <w:t>»</w:t>
      </w:r>
      <w:r w:rsidR="004B02BD" w:rsidRPr="004E4FBC">
        <w:rPr>
          <w:rFonts w:ascii="Tahoma" w:hAnsi="Tahoma" w:cs="Tahoma"/>
          <w:sz w:val="20"/>
          <w:szCs w:val="20"/>
        </w:rPr>
        <w:t xml:space="preserve"> </w:t>
      </w:r>
      <w:r w:rsidR="004E4FBC" w:rsidRPr="004E4FBC">
        <w:rPr>
          <w:rFonts w:ascii="Tahoma" w:hAnsi="Tahoma" w:cs="Tahoma"/>
          <w:sz w:val="20"/>
          <w:szCs w:val="20"/>
        </w:rPr>
        <w:t>για το ΓΕΝΙΚΟ ΝΟΣΟΚΟΜΕΙΟ ΑΙΤΩΛΟΑΚΑΡΝΑΝΙΑΣ-Ν</w:t>
      </w:r>
      <w:r>
        <w:rPr>
          <w:rFonts w:ascii="Tahoma" w:hAnsi="Tahoma" w:cs="Tahoma"/>
          <w:sz w:val="20"/>
          <w:szCs w:val="20"/>
        </w:rPr>
        <w:t>.</w:t>
      </w:r>
      <w:r w:rsidR="004E4FBC" w:rsidRPr="004E4FBC">
        <w:rPr>
          <w:rFonts w:ascii="Tahoma" w:hAnsi="Tahoma" w:cs="Tahoma"/>
          <w:sz w:val="20"/>
          <w:szCs w:val="20"/>
        </w:rPr>
        <w:t xml:space="preserve"> Μ</w:t>
      </w:r>
      <w:r>
        <w:rPr>
          <w:rFonts w:ascii="Tahoma" w:hAnsi="Tahoma" w:cs="Tahoma"/>
          <w:sz w:val="20"/>
          <w:szCs w:val="20"/>
        </w:rPr>
        <w:t>.</w:t>
      </w:r>
      <w:r w:rsidR="004E4FBC" w:rsidRPr="004E4FBC">
        <w:rPr>
          <w:rFonts w:ascii="Tahoma" w:hAnsi="Tahoma" w:cs="Tahoma"/>
          <w:sz w:val="20"/>
          <w:szCs w:val="20"/>
        </w:rPr>
        <w:t xml:space="preserve"> ΑΓΡΙΝΙΟΥ</w:t>
      </w:r>
      <w:r w:rsidR="00F3506A" w:rsidRPr="004E4FBC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7938C7" w:rsidRPr="004E4FBC">
        <w:rPr>
          <w:rFonts w:ascii="Tahoma" w:hAnsi="Tahoma" w:cs="Tahoma"/>
          <w:sz w:val="20"/>
          <w:szCs w:val="20"/>
          <w:lang w:eastAsia="ar-SA"/>
        </w:rPr>
        <w:t xml:space="preserve">σας διαβιβάζουμε </w:t>
      </w:r>
      <w:r w:rsidR="00EE0180">
        <w:rPr>
          <w:rFonts w:ascii="Tahoma" w:hAnsi="Tahoma" w:cs="Tahoma"/>
          <w:sz w:val="20"/>
          <w:szCs w:val="20"/>
          <w:lang w:eastAsia="ar-SA"/>
        </w:rPr>
        <w:t xml:space="preserve">τον πίνακα των ειδών, και </w:t>
      </w:r>
      <w:r w:rsidR="004E4FBC" w:rsidRPr="004E4FBC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8C7ADA" w:rsidRPr="004E4FBC">
        <w:rPr>
          <w:rFonts w:ascii="Tahoma" w:hAnsi="Tahoma" w:cs="Tahoma"/>
          <w:sz w:val="20"/>
          <w:szCs w:val="20"/>
          <w:lang w:eastAsia="ar-SA"/>
        </w:rPr>
        <w:t>π</w:t>
      </w:r>
      <w:r w:rsidR="007938C7" w:rsidRPr="004E4FBC">
        <w:rPr>
          <w:rFonts w:ascii="Tahoma" w:hAnsi="Tahoma" w:cs="Tahoma"/>
          <w:sz w:val="20"/>
          <w:szCs w:val="20"/>
          <w:lang w:eastAsia="ar-SA"/>
        </w:rPr>
        <w:t xml:space="preserve">αρακαλούμε όπως </w:t>
      </w:r>
      <w:r w:rsidR="00EE0180">
        <w:rPr>
          <w:rFonts w:ascii="Tahoma" w:hAnsi="Tahoma" w:cs="Tahoma"/>
          <w:sz w:val="20"/>
          <w:szCs w:val="20"/>
          <w:lang w:eastAsia="ar-SA"/>
        </w:rPr>
        <w:t>καταχωρήσετε τις τρέχουσες τιμές</w:t>
      </w:r>
      <w:r w:rsidR="00D83ECC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EE0180">
        <w:rPr>
          <w:rFonts w:ascii="Tahoma" w:hAnsi="Tahoma" w:cs="Tahoma"/>
          <w:sz w:val="20"/>
          <w:szCs w:val="20"/>
          <w:lang w:eastAsia="ar-SA"/>
        </w:rPr>
        <w:t>προκειμένου να προχωρήσουμε στην δημοσίευση του διαγωνισμού.</w:t>
      </w:r>
    </w:p>
    <w:p w:rsidR="00274B2E" w:rsidRPr="00D14B42" w:rsidRDefault="00D14B42" w:rsidP="00EC08C8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ar-SA"/>
        </w:rPr>
      </w:pPr>
      <w:r w:rsidRPr="00D14B42">
        <w:rPr>
          <w:rFonts w:ascii="Tahoma" w:hAnsi="Tahoma" w:cs="Tahoma"/>
          <w:b/>
          <w:color w:val="000000"/>
          <w:sz w:val="20"/>
          <w:szCs w:val="20"/>
          <w:lang w:eastAsia="ar-SA"/>
        </w:rPr>
        <w:t>Α.</w:t>
      </w:r>
    </w:p>
    <w:tbl>
      <w:tblPr>
        <w:tblW w:w="99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27"/>
        <w:gridCol w:w="963"/>
        <w:gridCol w:w="1222"/>
        <w:gridCol w:w="1342"/>
      </w:tblGrid>
      <w:tr w:rsidR="009064D6" w:rsidRPr="009064D6" w:rsidTr="00D76598">
        <w:trPr>
          <w:trHeight w:val="675"/>
        </w:trPr>
        <w:tc>
          <w:tcPr>
            <w:tcW w:w="9921" w:type="dxa"/>
            <w:gridSpan w:val="5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ΑΝΤΙΔΡΑΣΤΗΡΙΑ ΠΑΘΟΛΟΓΟΑΝΑΤΟΜΙΚΟΥ ΤΜΗΜΑΤΟΣ-ΑΝΟΣΟΙΣΤΟΧΗΜΕΙΑΣ (Τα 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πρωτοταγή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αντισώματα να είναι 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προαραιωμένα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, έτοιμα για χρήση), [μ: μικρή 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συσκ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/σια (6-7ml)]. H τιμή μονάδος να αφορά τόσο την συσκευασία όσο και την μονάδα μέτρησης του είδους. (Αναγωγή 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ανα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ml/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kgr</w:t>
            </w:r>
            <w:proofErr w:type="spellEnd"/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/τεμάχιο)</w:t>
            </w:r>
          </w:p>
        </w:tc>
      </w:tr>
      <w:tr w:rsidR="009064D6" w:rsidRPr="009064D6" w:rsidTr="009064D6">
        <w:trPr>
          <w:trHeight w:val="675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Μ.Μ</w:t>
            </w:r>
          </w:p>
        </w:tc>
        <w:tc>
          <w:tcPr>
            <w:tcW w:w="122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ΤΙΜΗ ΜΟΝΑΔΟΣ </w:t>
            </w: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AE1/AE3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CK 5/6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7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75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8/18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19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20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CK 34Be12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EMA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4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5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8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10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CD 15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19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20 (L26)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21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23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30 (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-H2)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34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43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45RO (UCHL-1)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45 (LCA)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57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68 (PG-M1)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79a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138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117 /C-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Ki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t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CDX - 2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P53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P63 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Ki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67 (MIB-1)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ALK 1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AMACR/P504S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CEA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Hepatocyte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(HSΑ)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Uroplakin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PSA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PSAP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PAX 8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PAX 5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GCDFP-15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Estrogen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Receptors</w:t>
            </w:r>
            <w:proofErr w:type="spellEnd"/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Progestogen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Receptors</w:t>
            </w:r>
            <w:proofErr w:type="spellEnd"/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c-erbB-2/HER-2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bcl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bcl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 6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Cyclin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D1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light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chains</w:t>
            </w:r>
            <w:proofErr w:type="spellEnd"/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λ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light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chains</w:t>
            </w:r>
            <w:proofErr w:type="spellEnd"/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TTF 1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Thyroglobulin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Napsin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MSA (HHF35)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Desmin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Myogenin</w:t>
            </w:r>
            <w:proofErr w:type="spellEnd"/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Caldesmon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Vimentin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Calponin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E-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Cadherin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Calretinin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D2-40/podoplanin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S - 100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μx6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(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Melanosome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) HMB45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Melan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Synaptophysin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Cromogranin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NSE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MUC 2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MUC 5AC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SOX 10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PRAME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μx4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GATA 3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NKX 3.1 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31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56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163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GFAP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Neurofilament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μx2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Mammoglobin</w:t>
            </w:r>
            <w:proofErr w:type="spellEnd"/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CD 99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μx1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color w:val="000000"/>
                <w:sz w:val="20"/>
                <w:szCs w:val="20"/>
              </w:rPr>
            </w:pPr>
          </w:p>
        </w:tc>
      </w:tr>
      <w:tr w:rsidR="009064D6" w:rsidRPr="009064D6" w:rsidTr="00D14B42">
        <w:trPr>
          <w:trHeight w:val="6595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Πλήρες ΚΙΤ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ανοσοϊστοχημείας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το οποίο να είναι συμβατό με το μηχάνημα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ανοσοιστοχημείας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ιδιοκτησίας του Νοσοκομείου (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Autostainer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48, DAKO) με χρωμογόνο DAB που διαθέτει όλα τα αντιδραστήρια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ανοσοϊστοχημείας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καθώς και τα ρυθμιστικά διαλύματα για την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αποπαραφίνωση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την αποκάλυψη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επιτόπων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και τα διαλύματα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έκπλησης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. Το ΚΙΤ ανίχνευσης ενός σταδίου πολυμερούς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Dextran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είναι κατάλληλο για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μονοκλωνικά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πολυκλωνικά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αντισώματα. Το κατάλληλο για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μονοκλωνικά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πολυκλωνικά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αντισώματα. Το αντιδραστήριο ανίχνευσης είναι ενός σταδίου, έχει όσο το δυνατόν περισσότερα ένζυμα επικολλημένα επί του πολυμερούς, τουλάχιστον 100 μέσω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δεξτράνης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και είναι κατάλληλο για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μονοκλωνικά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και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πολυκλωνικά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αντισώματα. Με τη χρήση του ΚΙΤ, ο χρήστης δε χρειάζεται μπλοκάρισμα πρωτεϊνών πριν το κυρίως αντίσωμα. Απαλείφει τη μη ειδική χρώση και τη χρώση υποστρώματος καθώς μειώνει τον χρόνο επώασης των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πρωτοταγών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αντισωμάτων, με αποτέλεσμα η διαδικασία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ανοσοϊστοχημείας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να ολοκληρώνεται σε 1 ώρα. Έχει πρωτόκολλο 20 λεπτών ανά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στάδιο.Κατάλληλο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για χρήση με το μηχάνημα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Autostainer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Autostainer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ή για χρήση στο χέρι. Το ΚΙΤ είναι πλήρες με τα αντίστοιχα:1.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Envision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Flex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HRP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one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step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(3 x 40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Τελικός Όγκος: 120 ΜL 2.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Buffer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ξεπλύματος TBST (4 x1L) Αραίωση 20x Τελικός Όγκος: 80 Λίτρα Έτοιμου Διαλύματος 3.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Blocking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Peroxidase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solution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: (3 x 40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Τελικός Όγκος: 120 ΜL.4. Ειδικό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buffer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αντιγονικότητας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με ΡΗ 9, την ταυτόχρονη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αποπαραφίνωση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και απελευθέρωση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αντιγονικότητας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(9 x 30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) Αραίωση 50x Τελικός Όγκος: 13,5 Λίτρα έτοιμου διαλύματος όπου χρησιμοποιείται τουλάχιστον 3 φορές.5. Χρωμογόνο DAB+ (3x3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substrate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buffer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(12x20mL) Τελικός Όγκος Χρωμογόνου: 240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Έτοιμου Διαλύματος                                                                                 6.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Envision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Flex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+ Mouse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Linker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Ενισχυτικό αντίσωμα για δύσκολα αντισώματα, Χρόνος επώασης 15 λεπτά. (3 x 40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mL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) Τελικός Όγκος:120 ΜL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600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test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122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81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Χρωμογόνο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ανοσοιστοχημείας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(κόκκινο)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Mangenta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το οποίο να είναι συμβατό με το μηχάνημα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ανοσοιστοχημείας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ιδιοκτησίας του Νοσοκομείου (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Autostainer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48, DAKO)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122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134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9064D6" w:rsidRPr="009064D6" w:rsidTr="009064D6">
        <w:trPr>
          <w:trHeight w:val="72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827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KIT DAB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away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συμβατό με το μηχάνημα 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ανοσοιστοχημείας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ιδιοκτησίας του Νοσοκομείου (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Autostainer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 xml:space="preserve"> 48, DAKO)</w:t>
            </w:r>
          </w:p>
        </w:tc>
        <w:tc>
          <w:tcPr>
            <w:tcW w:w="963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συσκ</w:t>
            </w:r>
            <w:proofErr w:type="spellEnd"/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/σια</w:t>
            </w:r>
          </w:p>
        </w:tc>
        <w:tc>
          <w:tcPr>
            <w:tcW w:w="1222" w:type="dxa"/>
            <w:shd w:val="clear" w:color="auto" w:fill="auto"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064D6" w:rsidRPr="009064D6" w:rsidTr="009064D6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27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963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hideMark/>
          </w:tcPr>
          <w:p w:rsidR="009064D6" w:rsidRPr="009064D6" w:rsidRDefault="009064D6" w:rsidP="009064D6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9064D6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274B2E" w:rsidRDefault="00274B2E" w:rsidP="00274B2E">
      <w:pPr>
        <w:pStyle w:val="Normal"/>
        <w:spacing w:after="0" w:line="240" w:lineRule="auto"/>
        <w:jc w:val="both"/>
        <w:rPr>
          <w:rFonts w:ascii="Tahoma" w:hAnsi="Tahoma" w:cs="Tahoma"/>
          <w:b/>
          <w:color w:val="auto"/>
          <w:sz w:val="20"/>
        </w:rPr>
      </w:pPr>
    </w:p>
    <w:p w:rsidR="004E4FBC" w:rsidRDefault="004E4FBC" w:rsidP="00274B2E">
      <w:pPr>
        <w:pStyle w:val="Normal"/>
        <w:spacing w:after="0" w:line="240" w:lineRule="auto"/>
        <w:jc w:val="both"/>
        <w:rPr>
          <w:rFonts w:ascii="Tahoma" w:hAnsi="Tahoma" w:cs="Tahoma"/>
          <w:b/>
          <w:color w:val="auto"/>
          <w:sz w:val="20"/>
        </w:rPr>
      </w:pPr>
    </w:p>
    <w:p w:rsidR="00D14B42" w:rsidRDefault="00D14B42" w:rsidP="00274B2E">
      <w:pPr>
        <w:pStyle w:val="Normal"/>
        <w:spacing w:after="0" w:line="240" w:lineRule="auto"/>
        <w:jc w:val="both"/>
        <w:rPr>
          <w:rFonts w:ascii="Tahoma" w:hAnsi="Tahoma" w:cs="Tahoma"/>
          <w:b/>
          <w:color w:val="auto"/>
          <w:sz w:val="20"/>
        </w:rPr>
      </w:pPr>
      <w:r>
        <w:rPr>
          <w:rFonts w:ascii="Tahoma" w:hAnsi="Tahoma" w:cs="Tahoma"/>
          <w:b/>
          <w:color w:val="auto"/>
          <w:sz w:val="20"/>
        </w:rPr>
        <w:t>Β.</w:t>
      </w:r>
    </w:p>
    <w:tbl>
      <w:tblPr>
        <w:tblW w:w="1011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6203"/>
        <w:gridCol w:w="1009"/>
        <w:gridCol w:w="940"/>
        <w:gridCol w:w="1360"/>
      </w:tblGrid>
      <w:tr w:rsidR="00D14B42" w:rsidRPr="00D14B42" w:rsidTr="00D14B42">
        <w:trPr>
          <w:trHeight w:val="361"/>
        </w:trPr>
        <w:tc>
          <w:tcPr>
            <w:tcW w:w="10118" w:type="dxa"/>
            <w:gridSpan w:val="5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ΑΝΑΛΩΣΙΜΑ ΥΛΙΚΑ ΠΑΘΟΛΟΓΟΑΝΑΤΟΜΙΚΟΥ ΤΜΗΜΑΤΟΣ</w:t>
            </w:r>
          </w:p>
        </w:tc>
      </w:tr>
      <w:tr w:rsidR="00D14B42" w:rsidRPr="00D14B42" w:rsidTr="00D14B42">
        <w:trPr>
          <w:trHeight w:val="825"/>
        </w:trPr>
        <w:tc>
          <w:tcPr>
            <w:tcW w:w="606" w:type="dxa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6203" w:type="dxa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ΠΕΡΙΓΡΑΦΗ ΕΙΔΟΥΣ</w:t>
            </w:r>
          </w:p>
        </w:tc>
        <w:tc>
          <w:tcPr>
            <w:tcW w:w="1009" w:type="dxa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Μ.Μ</w:t>
            </w:r>
          </w:p>
        </w:tc>
        <w:tc>
          <w:tcPr>
            <w:tcW w:w="940" w:type="dxa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ΠΟΣ.</w:t>
            </w:r>
          </w:p>
        </w:tc>
        <w:tc>
          <w:tcPr>
            <w:tcW w:w="1360" w:type="dxa"/>
            <w:shd w:val="clear" w:color="000000" w:fill="FFFFFF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ΤΙΜΗ ΜΟΝΑΔΟΣ. </w:t>
            </w:r>
          </w:p>
        </w:tc>
      </w:tr>
      <w:tr w:rsidR="00D14B42" w:rsidRPr="00D14B42" w:rsidTr="002F7D13">
        <w:trPr>
          <w:trHeight w:val="452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Μέσο αφυδάτωσης ενός βήματος (υποκατάστατο αλκοόλης)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1. Μέσο αφυδάτωσης ενός βήματος ιστολογικών και κυτταρολογικών παρασκευασμάτων.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2. Να περιέχει Αιθανόλη σε ποσοστό συγκεντρώσεως ≥90%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3. Να έχει χρώμα ελαφρύ μπλε για να διακρίνεται από τα άλλα χημικά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4. Να υποκαθιστά την ανιούσα και κατιούσα σειρά αλκοολών σε ένα μόνο βήμα, να μην απαιτούνται αραιώσεις, συμβατό με άνυδρους και ένυδρους παράγοντες.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5. Να ελαχιστοποιεί την κατανάλωση αντιδραστηρίων και τον χρόνο διεξαγωγής των διαδικασιών.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6. Να βελτιώνει την ποιότητα κοπής λιπωδών ιστών στον μικροτόμο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7. Να βελτιστοποιεί την μονιμοποίηση και την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αντιγονικότητα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των ιστών και να διασφαλίζει την διατήρηση της μορφολογικής ακεραιότητας των ιστών/κυττάρων και των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νουκλεϊκών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οξέων (DNA &amp; RNA) 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8.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Nα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είναι συμβατό με το μέσο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διαύγασης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9. Να φέρει σήμανση CE/IVD.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    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770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203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0"/>
            </w:tblGrid>
            <w:tr w:rsidR="00D14B42" w:rsidRPr="00D14B42">
              <w:trPr>
                <w:trHeight w:val="477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14B42" w:rsidRPr="00D14B42" w:rsidRDefault="002F7D13" w:rsidP="00D14B42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1657350</wp:posOffset>
                        </wp:positionH>
                        <wp:positionV relativeFrom="paragraph">
                          <wp:posOffset>2336165</wp:posOffset>
                        </wp:positionV>
                        <wp:extent cx="313690" cy="323215"/>
                        <wp:effectExtent l="19050" t="0" r="0" b="0"/>
                        <wp:wrapNone/>
                        <wp:docPr id="2" name="Picture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9"/>
                                <pic:cNvPicPr/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69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Μέσο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διαύγασης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(υποκατάστατο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ξυλόλης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)        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1. Μέσο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διαύγασης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ιστολογικών και κυτταρολογικών παρασκευασμάτων.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2. Να είναι μίγμα άνυδρων αλκοολών και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αλειφατικών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αλκενίων, όχι αρωματικών ενώσεων. 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3. Να είναι άοσμο προϊόν για την υποκατάσταση της τοξικής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ξυλόλης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4. Να βελτιστοποιεί την μονιμοποίηση και την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αντιγονικότητα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των ιστών και να διασφαλίζει την διατήρηση της μορφολογικής ακεραιότητας των ιστών/κυττάρων και των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νουκλεϊκών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οξέων (DNA &amp; RNA) .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5. Να είναι συμβατό με το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αφυδατωτικό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ενός βήματος. 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6. Να μην περιέχει το σύμβολο GHS08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Health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>Hazard</w:t>
                  </w:r>
                  <w:proofErr w:type="spellEnd"/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                  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i.   Να κατατεθεί το MSDS.</w:t>
                  </w:r>
                  <w:r w:rsidR="00D14B42" w:rsidRPr="00D14B42">
                    <w:rPr>
                      <w:rFonts w:ascii="Tahoma" w:hAnsi="Tahoma" w:cs="Tahoma"/>
                      <w:sz w:val="20"/>
                      <w:szCs w:val="20"/>
                    </w:rPr>
                    <w:br/>
                    <w:t>7. Να φέρει σήμανση CE/IVD.</w:t>
                  </w:r>
                </w:p>
              </w:tc>
            </w:tr>
          </w:tbl>
          <w:p w:rsidR="00D14B42" w:rsidRPr="00D14B42" w:rsidRDefault="00D14B42" w:rsidP="00D14B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850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67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Μέσο επικάλυψης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Επικαλυπτικό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υλικό συμβατό με το μέσο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διαύγασης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67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Φορμόλη ουδέτερη, έτοιμη για χρήση, σε συσκευασία 10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με κάνουλα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489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Κουτιά αρχειοθέτησης μπλοκ παραφίνης (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συρταριέρες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)1000block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3250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Paraplast</w:t>
            </w:r>
            <w:proofErr w:type="spellEnd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Plus</w:t>
            </w:r>
            <w:proofErr w:type="spellEnd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1. Να είναι ειδική παραφίνη υψηλής καθαρότητας με πλαστικά πολυμερή &amp; 0,8% DMSO, ρυθμιζόμενου μοριακού βάρους, για αντοχή σε εφελκυσμό και ελαστικότητα και καλύτερη ποιότητα κοπής στον μικροτόμο.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2. Κατά την κοπή να παρέχει μεγάλη αντοχή στη συμπίεση για να διατηρείται η μορφολογία του ιστού  και λεπτές τομές χωρίς παραμορφώσεις.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3. Να βελτιώνει την ελαστικότητα των εύθραυστων, δύσκολων στην κοπή ιστών καθιστώντας ευκολότερη την παραγωγή τομών χωρίς πτυχώσεις.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4. Να φέρει σήμανση CE/IVD.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5. Σε συσκευασία 1 κιλού.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Kg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106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ΛΕΠΙΔΕΣ ΜΙΚΡΟΤΟΜΟΥ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Οι λεπίδες να έχουν γωνία κοπής 340 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κατάλληλες για μαλακούς και σκληρούς ιστούς.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κατάλληλες και για κρυοστάτη.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30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κουτια</w:t>
            </w:r>
            <w:proofErr w:type="spellEnd"/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723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User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Fillable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Reagent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Botlle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12 ml,  </w:t>
            </w:r>
            <w:r w:rsidRPr="00D14B42">
              <w:rPr>
                <w:rFonts w:ascii="Tahoma" w:hAnsi="Tahoma" w:cs="Tahoma"/>
                <w:sz w:val="20"/>
                <w:szCs w:val="20"/>
              </w:rPr>
              <w:t>συμβατά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με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το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μηχάνημα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ανοσοϊστοχημείας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 Agilent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Dako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Autostainer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Link 48 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συσκ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/σια 25τμχ</w:t>
            </w:r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70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User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Fillable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Reagent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Botlle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5 ml, </w:t>
            </w:r>
            <w:r w:rsidRPr="00D14B42">
              <w:rPr>
                <w:rFonts w:ascii="Tahoma" w:hAnsi="Tahoma" w:cs="Tahoma"/>
                <w:sz w:val="20"/>
                <w:szCs w:val="20"/>
              </w:rPr>
              <w:t>συμβατά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με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το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μηχάνημα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ανοσοϊστοχημείας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 Agilent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Dako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Autostainer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Link 48 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συσκ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/σια 25τμχ</w:t>
            </w:r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58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Slide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racks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 συμβατές με το μηχάνημα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ανοσοϊστοχημείας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Agilent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Dako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Autostainer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Link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48 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συσκ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/σια 4τμχ</w:t>
            </w:r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667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Ταινίες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barcode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: 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Seymour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ladels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 S 3417)  συμβατές με το μηχάνημα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ανοσοϊστοχημείας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Agilent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Dako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Autostainer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Link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48 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συσκ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/σια</w:t>
            </w:r>
          </w:p>
        </w:tc>
        <w:tc>
          <w:tcPr>
            <w:tcW w:w="94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6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Γλυκερίνη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2lt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Οξϊκό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οξύ  (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παγόμορφο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)1000 mi*2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τεμ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Περιοδικό οξύ(500 ml*2)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τεμ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2F7D13">
        <w:trPr>
          <w:trHeight w:val="3552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Πλαστικές κασέτες μίας χρήσης για την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έγκλειση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ιστολογικών Παρασκευασμάτων. Να είναι κατασκευασμένες από υψηλής αντοχής πολυμερές (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Aceetal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Polymer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). Το άνοιγμα της κασέτας μετά το πέρας της επεξεργασίας να γίνεται από το πίσω μέρος, εξαλείφοντας τον κίνδυνο να σβηστούν τα στοιχεία του περιστατικού. Ο χώρος αναγραφής των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σοιχείων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να είναι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υπο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γωνία 30° εξασφαλίζοντας τον μεγαλύτερο δυνατό χώρο για την αναγραφή των στοιχείων του περιστατικού. Οι οπές να έχουν το κατάλληλο άνοιγμα έτσι ώστε να βελτιστοποιείται η ανταλλαγή των υγρών μεταξύ του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ιστοτεμαχίου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του περιβάλλοντα χώρου. Με το ασφαλές κλείσιμο να επιτυγχάνεται η απόλυτη προστασία των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ιστοτεμαχίων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κατά την διάρκεια της επεξεργασία τους. Να φέρουν CE/IVD. Να διατίθενται σε εννέα (9) χρώματα. Να διατίθενται σε συσκευασία των 1.500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τεμ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(3 κουτιά των 500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TMX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10000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667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Πλαστικές κασέτες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μικροβιοψιών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, μιας χρήσης τύπος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Fine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Pore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Cassettes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: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είναι κατασκευασμένες από πολυμερές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ακετυλίου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είναι ιδανικές για την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έγκλειση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πολύ μικρών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ιστοτεμαχίων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πάχους έως 1mm ώστε να μη χρειάζεται να τοποθετείται μέσα στην κασέτα διηθητικό χαρτί ή σφουγγαράκια ή σακουλάκια βιοψιών.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έχουν ασφαλές κλείσιμο με το οποίο να επιτυγχάνεται η απόλυτη προστασία των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ιστοτεμαχίων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κατά τη διάρκεια της επεξεργασίας τους.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Οι οπές να έχουν το κατάλληλο άνοιγμα έτσι ώστε να βελτιστοποιείται η ανταλλαγή των υγρών μεταξύ του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ιστοτεμαχίου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του περιβάλλοντα χώρου.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Το άνοιγμα της κασέτας μετά το πέρας της εργασίας να γίνεται από το πίσω μέρος, εξαλείφοντας τον κίνδυνο να σβηστούν τα στοιχεία του περιστατικού.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Ο χώρος αναγραφής των στοιχείων να είναι υπό γωνία 45ο.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διατίθονται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σε δώδεκα (12) χρώματα.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έχουν εσωτερικές διαστάσεις 25x30mm.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φέρουν CE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mark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TMX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30000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43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Υλικό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εγκλείσεως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τομών κρυοστάτη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2τμχ</w:t>
            </w:r>
          </w:p>
        </w:tc>
        <w:tc>
          <w:tcPr>
            <w:tcW w:w="1360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4B42" w:rsidRPr="00D14B42" w:rsidTr="00D14B42">
        <w:trPr>
          <w:trHeight w:val="1394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HARRIS HEMATOXYLIN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Έτοιμο προς χρήση διάλυμα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Αιματοξυλίνης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Harris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Να περιέχει αιθυλική αλκοόλη σε ποσοστό 3% έως 5% και οξικό οξύ σε ποσοστό 1% έως 3%.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Να φέρει σήμανση CE/IVD.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Σε δοχείο 5 λίτρων.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Δοχείο 5lt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2208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Iron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hematoxylin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Weigert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sol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 A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Διάλυμα χρωστικής κατάλληλο για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τριχρωμική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χρώση.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περιέχει χλωριούχο σίδηρο, υδροχλωρικό οξύ &lt;0,5%,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Ferro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hexahydrate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1-3%.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φέρεισήμανση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CE-IVD.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είναι σε συσκευασία 1L.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κατατεθούν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τοTECHNICALDATASHEET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τοSAFETYDATASHEET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(SDS), από τα οποία θα αποδεικνύεται η συμφωνία με τις ζητούμενες Τεχνικές Προδιαγραφές.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2254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Iron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hematoxylin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Weigert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sol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 B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Διάλυμα χρωστικής κατάλληλο για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τριχρωμική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χρώση.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περιέχει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αιματοξυλίνη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1-5%, αιθανόλη 80-100%, ισοπροπανόλη5-10%.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φέρεισήμανση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CE-IVD.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είναι σε συσκευασία 1L.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κατατεθούν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τοTECHNICALDATASHEET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τοSAFETYDATASHEET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(SDS), από τα οποία θα αποδεικνύεται η συμφωνία με τις ζητούμενες Τεχνικές Προδιαγραφές.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2400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Giemsaδιάλυμα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Διάλυμα χρωστικής κατάλληλο για την ανίχνευση του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Helicobacterpylori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περιέχει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Eosin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AzurII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, γλυκερίνη,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μεθανόλη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40-60%.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έχει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6,5.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φέρει σήμανση CE-IVD.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είναι σε συσκευασία 2,5L.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κατατεθούν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τοTECHNICALDATASHEET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το</w:t>
            </w:r>
            <w:r w:rsidR="002F7D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t>SAFETYDATASHEET (SDS), από τα οποία θα αποδεικνύεται η συμφωνία με τις ζητούμενες Τεχνικές Προδιαγραφές.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1123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lastRenderedPageBreak/>
              <w:t>22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EOSIN </w:t>
            </w:r>
            <w:proofErr w:type="spellStart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alcoholic</w:t>
            </w:r>
            <w:proofErr w:type="spellEnd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>solution</w:t>
            </w:r>
            <w:proofErr w:type="spellEnd"/>
            <w:r w:rsidRPr="00D14B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0.5%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Έτοιμο προς χρήση διάλυμα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Ηωσίνης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0,5% αλκοολικής βάσης. Να περιέχει αιθυλική αλκοόλη σε ποσοστό 70% έως 80% και οξικό οξύ σε ποσοστό 0,5% έως 1%. Να φέρει σήμανση CE/IVD. Σε δοχείο 5 λίτρων.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Δοχείο 5lt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3592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Αφαλατωτικό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ταχείας αφαλάτωσης ιστών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είναι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αφαλατωτικό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διάλυμα υδροχλωρικού οξέος (ΗCL) συγκέντρωσης &lt;10% και EDTA&lt;1%.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Ναπεριέχεινερό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&gt;89%, Sodium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Tartrate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di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-hydrate &lt;0</w:t>
            </w:r>
            <w:proofErr w:type="gram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,1</w:t>
            </w:r>
            <w:proofErr w:type="gram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%, Potassium sodium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Tartrate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 tetra-hydrate &lt;0,001% </w:t>
            </w:r>
            <w:r w:rsidRPr="00D14B42">
              <w:rPr>
                <w:rFonts w:ascii="Tahoma" w:hAnsi="Tahoma" w:cs="Tahoma"/>
                <w:sz w:val="20"/>
                <w:szCs w:val="20"/>
              </w:rPr>
              <w:t>και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Congo Red &lt;0,001%.</w:t>
            </w: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br/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• Να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αφαλατώνειμικρά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δείγματα σε 4-7 ημέρες και μεγαλύτερα δείγματα με μεγάλο βαθμό ασβεστοποίησης εντός 6 εβδομάδων.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δίνει άριστα αποτελέσματα σε δείγματα που προορίζονται για χρώση ρουτίνας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αιματοξυλίνης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ηωσίνης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καθώς και για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ανοσοϊστοχημεία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(IHC).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φέρει σήμανση CE-IVD.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είναι σε συσκευασία  2,5L.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• Να κατατεθεί το SAFETYDATASHEET (SDS)του υλικού προς επιβεβαίωση της σύστασης.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2,5lt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3218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Silver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Impregnation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for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reticulin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Stain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kit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είναι πλήρες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kit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να περιέχει τα διαλύματα: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α)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Potassium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permanganate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0,25-0,5%, β)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Acid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activation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buffer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, γ)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Oxalic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acid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1-5%, δ)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Ferric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ammonium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sulphate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1-5%, ε)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Ammonia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1-3%, στ)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Silver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nitrate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1-2,5%, ζ)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formaldehyde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5-10%, η)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methanol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&lt;0,5%καιθ)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Sodium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hyposulphite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fixing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solution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Η διαδικασία να έχει μέγιστη διάρκεια 35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Το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kit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να έχει θερμοκρασία φύλαξης 2-8o C.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Ναείναικατάλληλογια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100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tests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φέρει σήμανση CE-IVD.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• Να κατατεθούν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τοTECHNICALDATASHEET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και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τοSAFETYDATASHEET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(SDS), από τα οποία θα αποδεικνύεται η συμφωνία με τις ζητούμενες Τεχνικές Προδιαγραφές.</w:t>
            </w:r>
          </w:p>
        </w:tc>
        <w:tc>
          <w:tcPr>
            <w:tcW w:w="1009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300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Κωνικές φιάλες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θερμοάντοχες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500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  <w:r w:rsidRPr="00D14B42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391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Μαγνητικοί αναδευτήρες για ανάδευση ποσότητας 2 λίτρων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984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ΛΑΜΑ ΚΟΠΗΣ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No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. 61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 -  Να είναι λάμες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μεταλικές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κατάλληλες για σκληρά υλικά.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μεγάλη διάρκεια κοπής.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φαρδύ άκρο.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μήκος 77mm.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αποστειρωμένες.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σε πακέτο των 20 τεμαχίων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971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ΛΑΜΑ ΚΟΠΗΣ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No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. 62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- Να είναι λάμες μεταλλικές.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κατάλληλες για σκληρά υλικά.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μεγάλη διάρκεια κοπής.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λεπτό άκρο.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μήκος 77mm.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αποστειρωμένες.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είναι σε πακέτο των 20 τεμαχίων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139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ΠΛΑΣΤΙΚΗ ΛΑΒΗ ΠΑΓΚΟΥ ΚΟΠΗΣ F-60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Να έχει πλαστική λαβή από ειδικό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resin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>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Να μπορεί να αποστειρωθεί.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Να καθαρίζεται εύκολα.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μήκους 145mm.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1380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lastRenderedPageBreak/>
              <w:t>30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TRIMMING BLADE HANDLE </w:t>
            </w:r>
            <w:proofErr w:type="gramStart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>STANDARD  F</w:t>
            </w:r>
            <w:proofErr w:type="gramEnd"/>
            <w:r w:rsidRPr="00D14B42">
              <w:rPr>
                <w:rFonts w:ascii="Tahoma" w:hAnsi="Tahoma" w:cs="Tahoma"/>
                <w:sz w:val="20"/>
                <w:szCs w:val="20"/>
                <w:lang w:val="en-US"/>
              </w:rPr>
              <w:t xml:space="preserve">-80(P).             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>Να έχει πλαστική λαβή.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δέχεται λεπίδες μικροτόμου μήκους 80mm.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συνολικό μήκος 217 mm.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αποστειρώνεται.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298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ΛΑΒΙΔΑ ΑΝΑΤΟΜΙΚΗ.                                                                             Να είναι λαβίδα μεταλλική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για χρήση στον πάγκο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στρογγυλεμένες άκρες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μήκους 14 cm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557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ΛΑΒΙΔΑ.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 Να είναι λαβίδα μεταλλική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χειρουργική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δόντι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για χρήση στον πάγκο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μήκος 16 cm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511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ΧΑΡΤΙΝΕΣ ΜΑΠΕΣ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Nα</w:t>
            </w:r>
            <w:proofErr w:type="spellEnd"/>
            <w:r w:rsidRPr="00D14B42">
              <w:rPr>
                <w:rFonts w:ascii="Tahoma" w:hAnsi="Tahoma" w:cs="Tahoma"/>
                <w:sz w:val="20"/>
                <w:szCs w:val="20"/>
              </w:rPr>
              <w:t xml:space="preserve"> είναι χάρτινες μάπες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χωρητικότητα 20 θέσεων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διαθέτουν αναδιπλούμενο καπάκι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- Να έχουν ειδικό περιθώριο καταγραφής στοιχείων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 xml:space="preserve">  Συσκευασία: Τεμάχιο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2F7D13">
        <w:trPr>
          <w:trHeight w:val="1489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ΨΑΛΙΔΙ. 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 Να είναι ψαλίδι μεταλλικό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άγκιστρο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για διάνοιξη εντέρου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οδηγό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μήκους 21cm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1144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ΨΑΛΙΔΙ.                                                                                   Να είναι ψαλίδι μεταλλικό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για διάνοιξη εντέρου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είναι με οδηγό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μήκος 21cm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B42" w:rsidRPr="00D14B42" w:rsidTr="00D14B42">
        <w:trPr>
          <w:trHeight w:val="1185"/>
        </w:trPr>
        <w:tc>
          <w:tcPr>
            <w:tcW w:w="606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6203" w:type="dxa"/>
            <w:shd w:val="clear" w:color="auto" w:fill="auto"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 xml:space="preserve">ΨΑΛΙΔΙ.                                                  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D14B42">
              <w:rPr>
                <w:rFonts w:ascii="Tahoma" w:hAnsi="Tahoma" w:cs="Tahoma"/>
                <w:sz w:val="20"/>
                <w:szCs w:val="20"/>
              </w:rPr>
              <w:t xml:space="preserve"> Να είναι ψαλίδι μεταλλικό 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ευθέα άκρα</w:t>
            </w:r>
            <w:r w:rsidRPr="00D14B42">
              <w:rPr>
                <w:rFonts w:ascii="Tahoma" w:hAnsi="Tahoma" w:cs="Tahoma"/>
                <w:sz w:val="20"/>
                <w:szCs w:val="20"/>
              </w:rPr>
              <w:br/>
              <w:t>Να έχει μήκος 11cm</w:t>
            </w:r>
          </w:p>
        </w:tc>
        <w:tc>
          <w:tcPr>
            <w:tcW w:w="1009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14B42">
              <w:rPr>
                <w:rFonts w:ascii="Tahoma" w:hAnsi="Tahoma" w:cs="Tahoma"/>
                <w:sz w:val="20"/>
                <w:szCs w:val="20"/>
              </w:rPr>
              <w:t>τμχ</w:t>
            </w:r>
            <w:proofErr w:type="spellEnd"/>
          </w:p>
        </w:tc>
        <w:tc>
          <w:tcPr>
            <w:tcW w:w="94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Tahoma" w:hAnsi="Tahoma" w:cs="Tahoma"/>
                <w:sz w:val="20"/>
                <w:szCs w:val="20"/>
              </w:rPr>
            </w:pPr>
            <w:r w:rsidRPr="00D14B42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D14B42" w:rsidRPr="00D14B42" w:rsidRDefault="00D14B42" w:rsidP="00D14B42">
            <w:pPr>
              <w:rPr>
                <w:rFonts w:ascii="Calibri" w:hAnsi="Calibri" w:cs="Calibri"/>
                <w:sz w:val="22"/>
                <w:szCs w:val="22"/>
              </w:rPr>
            </w:pPr>
            <w:r w:rsidRPr="00D14B4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938C7" w:rsidRPr="00796B7C" w:rsidRDefault="007938C7" w:rsidP="00F3506A">
      <w:pPr>
        <w:jc w:val="both"/>
        <w:rPr>
          <w:rFonts w:ascii="Tahoma" w:hAnsi="Tahoma" w:cs="Tahoma"/>
          <w:sz w:val="20"/>
          <w:szCs w:val="20"/>
        </w:rPr>
      </w:pPr>
    </w:p>
    <w:p w:rsidR="000E2D7F" w:rsidRPr="00796B7C" w:rsidRDefault="000E2D7F" w:rsidP="00F3506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073E8" w:rsidRPr="00796B7C" w:rsidRDefault="00B073E8" w:rsidP="004B02BD">
      <w:pPr>
        <w:jc w:val="both"/>
        <w:rPr>
          <w:rFonts w:ascii="Tahoma" w:hAnsi="Tahoma" w:cs="Tahoma"/>
          <w:sz w:val="20"/>
          <w:szCs w:val="20"/>
        </w:rPr>
      </w:pPr>
    </w:p>
    <w:sectPr w:rsidR="00B073E8" w:rsidRPr="00796B7C" w:rsidSect="00274B2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583662"/>
    <w:lvl w:ilvl="0" w:tplc="4A8658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000004"/>
    <w:multiLevelType w:val="hybridMultilevel"/>
    <w:tmpl w:val="332221A0"/>
    <w:lvl w:ilvl="0" w:tplc="8A346DB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8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6"/>
    <w:multiLevelType w:val="hybridMultilevel"/>
    <w:tmpl w:val="B41E63AE"/>
    <w:lvl w:ilvl="0" w:tplc="8A346DB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8"/>
    <w:multiLevelType w:val="hybridMultilevel"/>
    <w:tmpl w:val="01EC0206"/>
    <w:lvl w:ilvl="0" w:tplc="247E509A">
      <w:start w:val="1"/>
      <w:numFmt w:val="decimal"/>
      <w:lvlText w:val="%1."/>
      <w:lvlJc w:val="left"/>
      <w:pPr>
        <w:tabs>
          <w:tab w:val="left" w:pos="720"/>
        </w:tabs>
        <w:ind w:left="680" w:hanging="623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B"/>
    <w:multiLevelType w:val="hybridMultilevel"/>
    <w:tmpl w:val="332221A0"/>
    <w:lvl w:ilvl="0" w:tplc="8A346DB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809000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D"/>
    <w:multiLevelType w:val="hybridMultilevel"/>
    <w:tmpl w:val="1E9E1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0000015"/>
    <w:multiLevelType w:val="multilevel"/>
    <w:tmpl w:val="34480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Comic Sans MS" w:hAnsi="Comic Sans MS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0000016"/>
    <w:multiLevelType w:val="hybridMultilevel"/>
    <w:tmpl w:val="F47260AE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00000017"/>
    <w:multiLevelType w:val="hybridMultilevel"/>
    <w:tmpl w:val="359AE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1D"/>
    <w:multiLevelType w:val="multilevel"/>
    <w:tmpl w:val="C39E3618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left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1800"/>
      </w:pPr>
    </w:lvl>
  </w:abstractNum>
  <w:abstractNum w:abstractNumId="11">
    <w:nsid w:val="0000001E"/>
    <w:multiLevelType w:val="hybridMultilevel"/>
    <w:tmpl w:val="14A2F312"/>
    <w:lvl w:ilvl="0" w:tplc="0408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000000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5067532"/>
    <w:multiLevelType w:val="hybridMultilevel"/>
    <w:tmpl w:val="D62283BE"/>
    <w:lvl w:ilvl="0" w:tplc="8A346DB6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omic Sans MS" w:hAnsi="Comic Sans MS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2C55F8"/>
    <w:multiLevelType w:val="hybridMultilevel"/>
    <w:tmpl w:val="5E6CB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6746DB"/>
    <w:multiLevelType w:val="multilevel"/>
    <w:tmpl w:val="EDC2F0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0D360D04"/>
    <w:multiLevelType w:val="hybridMultilevel"/>
    <w:tmpl w:val="C3F8AC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B465CE"/>
    <w:multiLevelType w:val="hybridMultilevel"/>
    <w:tmpl w:val="A41A017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12A5691E"/>
    <w:multiLevelType w:val="multilevel"/>
    <w:tmpl w:val="192C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9464740"/>
    <w:multiLevelType w:val="hybridMultilevel"/>
    <w:tmpl w:val="5E6CB9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FE12EE"/>
    <w:multiLevelType w:val="hybridMultilevel"/>
    <w:tmpl w:val="1EAAAA1C"/>
    <w:lvl w:ilvl="0" w:tplc="930494A8">
      <w:start w:val="1"/>
      <w:numFmt w:val="decimal"/>
      <w:lvlText w:val="%1."/>
      <w:lvlJc w:val="left"/>
      <w:pPr>
        <w:tabs>
          <w:tab w:val="num" w:pos="-643"/>
        </w:tabs>
        <w:ind w:left="-643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1">
    <w:nsid w:val="200F270A"/>
    <w:multiLevelType w:val="multilevel"/>
    <w:tmpl w:val="8CA8B4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4B458F9"/>
    <w:multiLevelType w:val="hybridMultilevel"/>
    <w:tmpl w:val="07883746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30711290"/>
    <w:multiLevelType w:val="hybridMultilevel"/>
    <w:tmpl w:val="B298E9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18A0E9C"/>
    <w:multiLevelType w:val="hybridMultilevel"/>
    <w:tmpl w:val="D626E6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37D9A"/>
    <w:multiLevelType w:val="hybridMultilevel"/>
    <w:tmpl w:val="83E0C8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86F3E"/>
    <w:multiLevelType w:val="multilevel"/>
    <w:tmpl w:val="CD96AA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CB26DFE"/>
    <w:multiLevelType w:val="multilevel"/>
    <w:tmpl w:val="8CA8B44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880F72"/>
    <w:multiLevelType w:val="hybridMultilevel"/>
    <w:tmpl w:val="F3860F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32294"/>
    <w:multiLevelType w:val="hybridMultilevel"/>
    <w:tmpl w:val="7D22E5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7134B6"/>
    <w:multiLevelType w:val="hybridMultilevel"/>
    <w:tmpl w:val="ED96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35F621E"/>
    <w:multiLevelType w:val="hybridMultilevel"/>
    <w:tmpl w:val="D69EE22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EB4A7B"/>
    <w:multiLevelType w:val="multilevel"/>
    <w:tmpl w:val="292E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294B17"/>
    <w:multiLevelType w:val="hybridMultilevel"/>
    <w:tmpl w:val="03449BC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F2C0E"/>
    <w:multiLevelType w:val="hybridMultilevel"/>
    <w:tmpl w:val="3CEA61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A639A2"/>
    <w:multiLevelType w:val="hybridMultilevel"/>
    <w:tmpl w:val="7186A9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E0768"/>
    <w:multiLevelType w:val="hybridMultilevel"/>
    <w:tmpl w:val="DDFE05B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451A8F"/>
    <w:multiLevelType w:val="hybridMultilevel"/>
    <w:tmpl w:val="066815A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BD33364"/>
    <w:multiLevelType w:val="hybridMultilevel"/>
    <w:tmpl w:val="745660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18"/>
  </w:num>
  <w:num w:numId="5">
    <w:abstractNumId w:val="23"/>
  </w:num>
  <w:num w:numId="6">
    <w:abstractNumId w:val="37"/>
  </w:num>
  <w:num w:numId="7">
    <w:abstractNumId w:val="24"/>
  </w:num>
  <w:num w:numId="8">
    <w:abstractNumId w:val="36"/>
  </w:num>
  <w:num w:numId="9">
    <w:abstractNumId w:val="35"/>
  </w:num>
  <w:num w:numId="10">
    <w:abstractNumId w:val="28"/>
  </w:num>
  <w:num w:numId="11">
    <w:abstractNumId w:val="25"/>
  </w:num>
  <w:num w:numId="12">
    <w:abstractNumId w:val="19"/>
  </w:num>
  <w:num w:numId="13">
    <w:abstractNumId w:val="14"/>
  </w:num>
  <w:num w:numId="14">
    <w:abstractNumId w:val="9"/>
  </w:num>
  <w:num w:numId="15">
    <w:abstractNumId w:val="5"/>
  </w:num>
  <w:num w:numId="16">
    <w:abstractNumId w:val="8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2"/>
  </w:num>
  <w:num w:numId="22">
    <w:abstractNumId w:val="7"/>
  </w:num>
  <w:num w:numId="23">
    <w:abstractNumId w:val="10"/>
  </w:num>
  <w:num w:numId="24">
    <w:abstractNumId w:val="11"/>
  </w:num>
  <w:num w:numId="25">
    <w:abstractNumId w:val="12"/>
  </w:num>
  <w:num w:numId="26">
    <w:abstractNumId w:val="0"/>
  </w:num>
  <w:num w:numId="27">
    <w:abstractNumId w:val="3"/>
  </w:num>
  <w:num w:numId="28">
    <w:abstractNumId w:val="17"/>
  </w:num>
  <w:num w:numId="29">
    <w:abstractNumId w:val="27"/>
  </w:num>
  <w:num w:numId="30">
    <w:abstractNumId w:val="21"/>
  </w:num>
  <w:num w:numId="31">
    <w:abstractNumId w:val="38"/>
  </w:num>
  <w:num w:numId="32">
    <w:abstractNumId w:val="20"/>
  </w:num>
  <w:num w:numId="33">
    <w:abstractNumId w:val="31"/>
  </w:num>
  <w:num w:numId="34">
    <w:abstractNumId w:val="34"/>
  </w:num>
  <w:num w:numId="35">
    <w:abstractNumId w:val="22"/>
  </w:num>
  <w:num w:numId="36">
    <w:abstractNumId w:val="30"/>
  </w:num>
  <w:num w:numId="37">
    <w:abstractNumId w:val="15"/>
  </w:num>
  <w:num w:numId="38">
    <w:abstractNumId w:val="26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53207"/>
    <w:rsid w:val="000018AF"/>
    <w:rsid w:val="00005256"/>
    <w:rsid w:val="000061E3"/>
    <w:rsid w:val="00006E99"/>
    <w:rsid w:val="00012C7D"/>
    <w:rsid w:val="0001394D"/>
    <w:rsid w:val="00015F7C"/>
    <w:rsid w:val="00020C65"/>
    <w:rsid w:val="00021365"/>
    <w:rsid w:val="000278A2"/>
    <w:rsid w:val="00027E38"/>
    <w:rsid w:val="0003034A"/>
    <w:rsid w:val="0003054F"/>
    <w:rsid w:val="00032795"/>
    <w:rsid w:val="00032CD2"/>
    <w:rsid w:val="000412F4"/>
    <w:rsid w:val="00042412"/>
    <w:rsid w:val="00045FDF"/>
    <w:rsid w:val="00046FE0"/>
    <w:rsid w:val="00047659"/>
    <w:rsid w:val="00051FD5"/>
    <w:rsid w:val="00052208"/>
    <w:rsid w:val="00052462"/>
    <w:rsid w:val="000531FA"/>
    <w:rsid w:val="00055967"/>
    <w:rsid w:val="00056253"/>
    <w:rsid w:val="0006210A"/>
    <w:rsid w:val="000621A2"/>
    <w:rsid w:val="0006328A"/>
    <w:rsid w:val="000667E6"/>
    <w:rsid w:val="000670A3"/>
    <w:rsid w:val="000778D6"/>
    <w:rsid w:val="00077AC6"/>
    <w:rsid w:val="00080C0B"/>
    <w:rsid w:val="00083C29"/>
    <w:rsid w:val="00085049"/>
    <w:rsid w:val="000857E5"/>
    <w:rsid w:val="00086C57"/>
    <w:rsid w:val="0009161B"/>
    <w:rsid w:val="0009201D"/>
    <w:rsid w:val="00093322"/>
    <w:rsid w:val="00093E75"/>
    <w:rsid w:val="000965BB"/>
    <w:rsid w:val="000A1A38"/>
    <w:rsid w:val="000A2904"/>
    <w:rsid w:val="000A60B9"/>
    <w:rsid w:val="000B1356"/>
    <w:rsid w:val="000B22F6"/>
    <w:rsid w:val="000C1709"/>
    <w:rsid w:val="000C1DE1"/>
    <w:rsid w:val="000C33E8"/>
    <w:rsid w:val="000C726F"/>
    <w:rsid w:val="000C7DBB"/>
    <w:rsid w:val="000D00C8"/>
    <w:rsid w:val="000D1143"/>
    <w:rsid w:val="000D4015"/>
    <w:rsid w:val="000D7B9F"/>
    <w:rsid w:val="000E16E4"/>
    <w:rsid w:val="000E2D7F"/>
    <w:rsid w:val="000E46C2"/>
    <w:rsid w:val="000E6821"/>
    <w:rsid w:val="000E6EC8"/>
    <w:rsid w:val="000E7462"/>
    <w:rsid w:val="000F05BA"/>
    <w:rsid w:val="000F07B0"/>
    <w:rsid w:val="000F2545"/>
    <w:rsid w:val="000F511A"/>
    <w:rsid w:val="000F7FE3"/>
    <w:rsid w:val="0010014E"/>
    <w:rsid w:val="00100AEA"/>
    <w:rsid w:val="00101320"/>
    <w:rsid w:val="00101F15"/>
    <w:rsid w:val="00102970"/>
    <w:rsid w:val="00102CEE"/>
    <w:rsid w:val="00103221"/>
    <w:rsid w:val="00103432"/>
    <w:rsid w:val="00112692"/>
    <w:rsid w:val="00112D27"/>
    <w:rsid w:val="00112E6D"/>
    <w:rsid w:val="001174FE"/>
    <w:rsid w:val="0012010E"/>
    <w:rsid w:val="00121407"/>
    <w:rsid w:val="001218BB"/>
    <w:rsid w:val="00122C87"/>
    <w:rsid w:val="00123439"/>
    <w:rsid w:val="00125A45"/>
    <w:rsid w:val="00127982"/>
    <w:rsid w:val="0013002D"/>
    <w:rsid w:val="001360F0"/>
    <w:rsid w:val="00140946"/>
    <w:rsid w:val="00140E0D"/>
    <w:rsid w:val="00141B06"/>
    <w:rsid w:val="00142280"/>
    <w:rsid w:val="001435B5"/>
    <w:rsid w:val="0014718D"/>
    <w:rsid w:val="00147AE9"/>
    <w:rsid w:val="00154710"/>
    <w:rsid w:val="00161D44"/>
    <w:rsid w:val="00161E43"/>
    <w:rsid w:val="0016399D"/>
    <w:rsid w:val="0017580D"/>
    <w:rsid w:val="001763EF"/>
    <w:rsid w:val="00186463"/>
    <w:rsid w:val="001907D4"/>
    <w:rsid w:val="001915D8"/>
    <w:rsid w:val="00195C2E"/>
    <w:rsid w:val="001979EF"/>
    <w:rsid w:val="001A2A66"/>
    <w:rsid w:val="001A458A"/>
    <w:rsid w:val="001A6666"/>
    <w:rsid w:val="001B68A1"/>
    <w:rsid w:val="001B71F9"/>
    <w:rsid w:val="001B789A"/>
    <w:rsid w:val="001C5776"/>
    <w:rsid w:val="001D072A"/>
    <w:rsid w:val="001D0AB4"/>
    <w:rsid w:val="001D18B3"/>
    <w:rsid w:val="001D5CF2"/>
    <w:rsid w:val="001D64F4"/>
    <w:rsid w:val="001E2392"/>
    <w:rsid w:val="001E2FB3"/>
    <w:rsid w:val="001E35C1"/>
    <w:rsid w:val="001E3B5E"/>
    <w:rsid w:val="001E64A5"/>
    <w:rsid w:val="001F14BB"/>
    <w:rsid w:val="001F6F69"/>
    <w:rsid w:val="002000D3"/>
    <w:rsid w:val="00203571"/>
    <w:rsid w:val="00207DF5"/>
    <w:rsid w:val="00214108"/>
    <w:rsid w:val="00217B70"/>
    <w:rsid w:val="0022117E"/>
    <w:rsid w:val="002212BE"/>
    <w:rsid w:val="00221D8E"/>
    <w:rsid w:val="00231C81"/>
    <w:rsid w:val="0023321D"/>
    <w:rsid w:val="00233C32"/>
    <w:rsid w:val="00235880"/>
    <w:rsid w:val="00235FD8"/>
    <w:rsid w:val="00236F81"/>
    <w:rsid w:val="00240E52"/>
    <w:rsid w:val="0025084A"/>
    <w:rsid w:val="002536C2"/>
    <w:rsid w:val="00257DDF"/>
    <w:rsid w:val="00264840"/>
    <w:rsid w:val="00274B2E"/>
    <w:rsid w:val="00274D44"/>
    <w:rsid w:val="00274DC1"/>
    <w:rsid w:val="00274E20"/>
    <w:rsid w:val="002777D8"/>
    <w:rsid w:val="00283151"/>
    <w:rsid w:val="00284A06"/>
    <w:rsid w:val="002862E4"/>
    <w:rsid w:val="00292B46"/>
    <w:rsid w:val="0029518F"/>
    <w:rsid w:val="0029570D"/>
    <w:rsid w:val="002959B4"/>
    <w:rsid w:val="002A4755"/>
    <w:rsid w:val="002A4BB7"/>
    <w:rsid w:val="002A65F4"/>
    <w:rsid w:val="002B0D83"/>
    <w:rsid w:val="002B0DD7"/>
    <w:rsid w:val="002B14DA"/>
    <w:rsid w:val="002B2869"/>
    <w:rsid w:val="002B29DF"/>
    <w:rsid w:val="002B49C4"/>
    <w:rsid w:val="002B64F2"/>
    <w:rsid w:val="002B6ACF"/>
    <w:rsid w:val="002B7E04"/>
    <w:rsid w:val="002C16C4"/>
    <w:rsid w:val="002C3A5A"/>
    <w:rsid w:val="002C53D1"/>
    <w:rsid w:val="002D0BCA"/>
    <w:rsid w:val="002D3B9B"/>
    <w:rsid w:val="002D70FD"/>
    <w:rsid w:val="002E34E9"/>
    <w:rsid w:val="002E4A50"/>
    <w:rsid w:val="002E6A3F"/>
    <w:rsid w:val="002E7EF4"/>
    <w:rsid w:val="002F2871"/>
    <w:rsid w:val="002F6094"/>
    <w:rsid w:val="002F7C82"/>
    <w:rsid w:val="002F7D13"/>
    <w:rsid w:val="00304B13"/>
    <w:rsid w:val="00317D6E"/>
    <w:rsid w:val="00321621"/>
    <w:rsid w:val="00321FB4"/>
    <w:rsid w:val="00323BDB"/>
    <w:rsid w:val="00326878"/>
    <w:rsid w:val="00331285"/>
    <w:rsid w:val="00332173"/>
    <w:rsid w:val="003329F8"/>
    <w:rsid w:val="003333FC"/>
    <w:rsid w:val="003342B4"/>
    <w:rsid w:val="00335339"/>
    <w:rsid w:val="00337269"/>
    <w:rsid w:val="003372BA"/>
    <w:rsid w:val="00337FE9"/>
    <w:rsid w:val="003432E2"/>
    <w:rsid w:val="003438F8"/>
    <w:rsid w:val="003441C9"/>
    <w:rsid w:val="00344C60"/>
    <w:rsid w:val="00347307"/>
    <w:rsid w:val="003474BC"/>
    <w:rsid w:val="00360AB8"/>
    <w:rsid w:val="00360EA6"/>
    <w:rsid w:val="00361163"/>
    <w:rsid w:val="00361253"/>
    <w:rsid w:val="003628EE"/>
    <w:rsid w:val="00370BF1"/>
    <w:rsid w:val="00373E42"/>
    <w:rsid w:val="00376AD9"/>
    <w:rsid w:val="003771DA"/>
    <w:rsid w:val="003802AE"/>
    <w:rsid w:val="00380C29"/>
    <w:rsid w:val="00382F35"/>
    <w:rsid w:val="00384313"/>
    <w:rsid w:val="0038459F"/>
    <w:rsid w:val="00386A5E"/>
    <w:rsid w:val="00391285"/>
    <w:rsid w:val="00391593"/>
    <w:rsid w:val="00394051"/>
    <w:rsid w:val="003940AB"/>
    <w:rsid w:val="00395FF4"/>
    <w:rsid w:val="003969A1"/>
    <w:rsid w:val="003A05F6"/>
    <w:rsid w:val="003A0755"/>
    <w:rsid w:val="003A0F21"/>
    <w:rsid w:val="003A3A79"/>
    <w:rsid w:val="003A3AC1"/>
    <w:rsid w:val="003A6AFC"/>
    <w:rsid w:val="003B3150"/>
    <w:rsid w:val="003B38B7"/>
    <w:rsid w:val="003B424D"/>
    <w:rsid w:val="003B527D"/>
    <w:rsid w:val="003C0171"/>
    <w:rsid w:val="003C0340"/>
    <w:rsid w:val="003C2879"/>
    <w:rsid w:val="003C28F5"/>
    <w:rsid w:val="003C34FD"/>
    <w:rsid w:val="003C3BE2"/>
    <w:rsid w:val="003C619B"/>
    <w:rsid w:val="003D13AA"/>
    <w:rsid w:val="003D290B"/>
    <w:rsid w:val="003D435B"/>
    <w:rsid w:val="003D5500"/>
    <w:rsid w:val="003E01A3"/>
    <w:rsid w:val="003E1FDA"/>
    <w:rsid w:val="003E2C87"/>
    <w:rsid w:val="003E2D9F"/>
    <w:rsid w:val="003E4B5B"/>
    <w:rsid w:val="003E7F72"/>
    <w:rsid w:val="003F02BD"/>
    <w:rsid w:val="003F04F3"/>
    <w:rsid w:val="003F3092"/>
    <w:rsid w:val="003F3E5A"/>
    <w:rsid w:val="003F6FC5"/>
    <w:rsid w:val="00401427"/>
    <w:rsid w:val="00405D7B"/>
    <w:rsid w:val="0041285D"/>
    <w:rsid w:val="00414222"/>
    <w:rsid w:val="00414AB0"/>
    <w:rsid w:val="00422C36"/>
    <w:rsid w:val="0042323F"/>
    <w:rsid w:val="004236F6"/>
    <w:rsid w:val="004271D5"/>
    <w:rsid w:val="00427771"/>
    <w:rsid w:val="00437432"/>
    <w:rsid w:val="00447DBD"/>
    <w:rsid w:val="00451789"/>
    <w:rsid w:val="00452A11"/>
    <w:rsid w:val="00452FEB"/>
    <w:rsid w:val="00454565"/>
    <w:rsid w:val="00454F84"/>
    <w:rsid w:val="00455D8A"/>
    <w:rsid w:val="004561CB"/>
    <w:rsid w:val="00456EBC"/>
    <w:rsid w:val="00457959"/>
    <w:rsid w:val="00457AE3"/>
    <w:rsid w:val="004606B8"/>
    <w:rsid w:val="00463429"/>
    <w:rsid w:val="00464B51"/>
    <w:rsid w:val="004764CB"/>
    <w:rsid w:val="00476615"/>
    <w:rsid w:val="00485E43"/>
    <w:rsid w:val="00487362"/>
    <w:rsid w:val="00487C41"/>
    <w:rsid w:val="00487DD1"/>
    <w:rsid w:val="004917C5"/>
    <w:rsid w:val="00493225"/>
    <w:rsid w:val="00493380"/>
    <w:rsid w:val="004937FE"/>
    <w:rsid w:val="00497F01"/>
    <w:rsid w:val="004A08BC"/>
    <w:rsid w:val="004A1802"/>
    <w:rsid w:val="004A6B76"/>
    <w:rsid w:val="004A7C26"/>
    <w:rsid w:val="004B02BD"/>
    <w:rsid w:val="004B2B07"/>
    <w:rsid w:val="004B2C68"/>
    <w:rsid w:val="004B5A50"/>
    <w:rsid w:val="004C09CA"/>
    <w:rsid w:val="004C1C0B"/>
    <w:rsid w:val="004C25E9"/>
    <w:rsid w:val="004C5A64"/>
    <w:rsid w:val="004D0B41"/>
    <w:rsid w:val="004D7490"/>
    <w:rsid w:val="004E2E0E"/>
    <w:rsid w:val="004E4FBC"/>
    <w:rsid w:val="004F21AE"/>
    <w:rsid w:val="004F2A26"/>
    <w:rsid w:val="004F50DB"/>
    <w:rsid w:val="004F5665"/>
    <w:rsid w:val="00500D7A"/>
    <w:rsid w:val="0050122C"/>
    <w:rsid w:val="005025DC"/>
    <w:rsid w:val="00504D50"/>
    <w:rsid w:val="00510A58"/>
    <w:rsid w:val="005110D5"/>
    <w:rsid w:val="00512AB8"/>
    <w:rsid w:val="00520936"/>
    <w:rsid w:val="00520B74"/>
    <w:rsid w:val="00521CE9"/>
    <w:rsid w:val="00522CD0"/>
    <w:rsid w:val="00526628"/>
    <w:rsid w:val="005270EF"/>
    <w:rsid w:val="00532ABE"/>
    <w:rsid w:val="00533080"/>
    <w:rsid w:val="0053473E"/>
    <w:rsid w:val="00535482"/>
    <w:rsid w:val="005503DD"/>
    <w:rsid w:val="005518C8"/>
    <w:rsid w:val="0055210F"/>
    <w:rsid w:val="005529F8"/>
    <w:rsid w:val="00560BBA"/>
    <w:rsid w:val="00572AA0"/>
    <w:rsid w:val="00575503"/>
    <w:rsid w:val="005803FA"/>
    <w:rsid w:val="005804F8"/>
    <w:rsid w:val="005814C9"/>
    <w:rsid w:val="005820E3"/>
    <w:rsid w:val="00586864"/>
    <w:rsid w:val="00591283"/>
    <w:rsid w:val="005921DB"/>
    <w:rsid w:val="005923E2"/>
    <w:rsid w:val="00594F16"/>
    <w:rsid w:val="00595515"/>
    <w:rsid w:val="005A13C8"/>
    <w:rsid w:val="005A1930"/>
    <w:rsid w:val="005A4BDF"/>
    <w:rsid w:val="005A4C74"/>
    <w:rsid w:val="005B02C4"/>
    <w:rsid w:val="005B1D66"/>
    <w:rsid w:val="005B29E3"/>
    <w:rsid w:val="005B3517"/>
    <w:rsid w:val="005B4175"/>
    <w:rsid w:val="005B4DC6"/>
    <w:rsid w:val="005B5031"/>
    <w:rsid w:val="005B6F5F"/>
    <w:rsid w:val="005B715B"/>
    <w:rsid w:val="005B7802"/>
    <w:rsid w:val="005C4433"/>
    <w:rsid w:val="005C636D"/>
    <w:rsid w:val="005D1475"/>
    <w:rsid w:val="005D1BD6"/>
    <w:rsid w:val="005D42E4"/>
    <w:rsid w:val="005E42A1"/>
    <w:rsid w:val="005E612A"/>
    <w:rsid w:val="005F2CFB"/>
    <w:rsid w:val="005F2F33"/>
    <w:rsid w:val="005F3724"/>
    <w:rsid w:val="005F4447"/>
    <w:rsid w:val="005F64FF"/>
    <w:rsid w:val="006002DC"/>
    <w:rsid w:val="00602016"/>
    <w:rsid w:val="00602FE1"/>
    <w:rsid w:val="00603766"/>
    <w:rsid w:val="00611D08"/>
    <w:rsid w:val="00612E70"/>
    <w:rsid w:val="00617D78"/>
    <w:rsid w:val="006221B4"/>
    <w:rsid w:val="00624D22"/>
    <w:rsid w:val="006252EB"/>
    <w:rsid w:val="0062617B"/>
    <w:rsid w:val="00630F53"/>
    <w:rsid w:val="006340EF"/>
    <w:rsid w:val="006364CE"/>
    <w:rsid w:val="00637E45"/>
    <w:rsid w:val="00641EDB"/>
    <w:rsid w:val="0064349B"/>
    <w:rsid w:val="00646E6C"/>
    <w:rsid w:val="0064781D"/>
    <w:rsid w:val="00650209"/>
    <w:rsid w:val="00651521"/>
    <w:rsid w:val="006525E6"/>
    <w:rsid w:val="006540B0"/>
    <w:rsid w:val="00655B7A"/>
    <w:rsid w:val="00655BAE"/>
    <w:rsid w:val="0065692D"/>
    <w:rsid w:val="00663C4D"/>
    <w:rsid w:val="00665DEA"/>
    <w:rsid w:val="00667139"/>
    <w:rsid w:val="0067261E"/>
    <w:rsid w:val="0067467A"/>
    <w:rsid w:val="00676EFF"/>
    <w:rsid w:val="00680B8F"/>
    <w:rsid w:val="00680BFA"/>
    <w:rsid w:val="0068251E"/>
    <w:rsid w:val="006844CC"/>
    <w:rsid w:val="00684782"/>
    <w:rsid w:val="00685426"/>
    <w:rsid w:val="00686889"/>
    <w:rsid w:val="00687896"/>
    <w:rsid w:val="006903F3"/>
    <w:rsid w:val="006976A3"/>
    <w:rsid w:val="006A3E23"/>
    <w:rsid w:val="006B15ED"/>
    <w:rsid w:val="006B1E6D"/>
    <w:rsid w:val="006B2413"/>
    <w:rsid w:val="006B2530"/>
    <w:rsid w:val="006B507D"/>
    <w:rsid w:val="006B5372"/>
    <w:rsid w:val="006B55A7"/>
    <w:rsid w:val="006C494A"/>
    <w:rsid w:val="006C664F"/>
    <w:rsid w:val="006D1DE9"/>
    <w:rsid w:val="006D2664"/>
    <w:rsid w:val="006D2BFD"/>
    <w:rsid w:val="006E1203"/>
    <w:rsid w:val="006E1A81"/>
    <w:rsid w:val="006E6D1A"/>
    <w:rsid w:val="006E7838"/>
    <w:rsid w:val="006F01F9"/>
    <w:rsid w:val="006F67DD"/>
    <w:rsid w:val="006F7F77"/>
    <w:rsid w:val="007009C9"/>
    <w:rsid w:val="007062D8"/>
    <w:rsid w:val="00706DF6"/>
    <w:rsid w:val="00707507"/>
    <w:rsid w:val="00710B0C"/>
    <w:rsid w:val="00713B0B"/>
    <w:rsid w:val="00714023"/>
    <w:rsid w:val="00714D53"/>
    <w:rsid w:val="00714DC8"/>
    <w:rsid w:val="00717DA4"/>
    <w:rsid w:val="007215A3"/>
    <w:rsid w:val="00727111"/>
    <w:rsid w:val="00727CBF"/>
    <w:rsid w:val="007302E0"/>
    <w:rsid w:val="007314C1"/>
    <w:rsid w:val="007369EE"/>
    <w:rsid w:val="007372DA"/>
    <w:rsid w:val="00740025"/>
    <w:rsid w:val="00740085"/>
    <w:rsid w:val="0074023F"/>
    <w:rsid w:val="00744FA7"/>
    <w:rsid w:val="00745C45"/>
    <w:rsid w:val="0074751D"/>
    <w:rsid w:val="0074790F"/>
    <w:rsid w:val="00750229"/>
    <w:rsid w:val="00753531"/>
    <w:rsid w:val="00753DCC"/>
    <w:rsid w:val="00754883"/>
    <w:rsid w:val="0075565F"/>
    <w:rsid w:val="00760632"/>
    <w:rsid w:val="007611E8"/>
    <w:rsid w:val="0076688C"/>
    <w:rsid w:val="00767320"/>
    <w:rsid w:val="00767B37"/>
    <w:rsid w:val="00767B6D"/>
    <w:rsid w:val="00771C51"/>
    <w:rsid w:val="007728EC"/>
    <w:rsid w:val="00774BAD"/>
    <w:rsid w:val="0078019B"/>
    <w:rsid w:val="007828DA"/>
    <w:rsid w:val="007837A8"/>
    <w:rsid w:val="007843DB"/>
    <w:rsid w:val="007909EB"/>
    <w:rsid w:val="007913AA"/>
    <w:rsid w:val="007938C7"/>
    <w:rsid w:val="00793B2F"/>
    <w:rsid w:val="00794B88"/>
    <w:rsid w:val="007951A7"/>
    <w:rsid w:val="00796B7C"/>
    <w:rsid w:val="007A1064"/>
    <w:rsid w:val="007A2FA4"/>
    <w:rsid w:val="007B2323"/>
    <w:rsid w:val="007B4A4D"/>
    <w:rsid w:val="007C0F8F"/>
    <w:rsid w:val="007C1C03"/>
    <w:rsid w:val="007D3164"/>
    <w:rsid w:val="007D3E73"/>
    <w:rsid w:val="007E4747"/>
    <w:rsid w:val="007E6AF8"/>
    <w:rsid w:val="007F0A79"/>
    <w:rsid w:val="007F2B10"/>
    <w:rsid w:val="007F7046"/>
    <w:rsid w:val="008009E3"/>
    <w:rsid w:val="008070F1"/>
    <w:rsid w:val="008151F5"/>
    <w:rsid w:val="008238E8"/>
    <w:rsid w:val="008253C3"/>
    <w:rsid w:val="0082659A"/>
    <w:rsid w:val="00827423"/>
    <w:rsid w:val="0082797B"/>
    <w:rsid w:val="008301A9"/>
    <w:rsid w:val="00831A93"/>
    <w:rsid w:val="00836342"/>
    <w:rsid w:val="00841473"/>
    <w:rsid w:val="00841B95"/>
    <w:rsid w:val="0084328D"/>
    <w:rsid w:val="00843BD3"/>
    <w:rsid w:val="00843C5D"/>
    <w:rsid w:val="0084559F"/>
    <w:rsid w:val="008461E4"/>
    <w:rsid w:val="00850CD0"/>
    <w:rsid w:val="00852DF3"/>
    <w:rsid w:val="008543E9"/>
    <w:rsid w:val="008546FE"/>
    <w:rsid w:val="00863106"/>
    <w:rsid w:val="0086733F"/>
    <w:rsid w:val="00867991"/>
    <w:rsid w:val="00881AEC"/>
    <w:rsid w:val="008832BB"/>
    <w:rsid w:val="00891100"/>
    <w:rsid w:val="00891EF6"/>
    <w:rsid w:val="00892DF4"/>
    <w:rsid w:val="008964A8"/>
    <w:rsid w:val="008A2E06"/>
    <w:rsid w:val="008A3E0D"/>
    <w:rsid w:val="008A4F8F"/>
    <w:rsid w:val="008A768A"/>
    <w:rsid w:val="008B07D6"/>
    <w:rsid w:val="008B2BC9"/>
    <w:rsid w:val="008B34F8"/>
    <w:rsid w:val="008B42C2"/>
    <w:rsid w:val="008B7AE1"/>
    <w:rsid w:val="008C252A"/>
    <w:rsid w:val="008C2AAC"/>
    <w:rsid w:val="008C52A7"/>
    <w:rsid w:val="008C71BA"/>
    <w:rsid w:val="008C7ADA"/>
    <w:rsid w:val="008D189C"/>
    <w:rsid w:val="008D6992"/>
    <w:rsid w:val="008D6FE7"/>
    <w:rsid w:val="008E04A8"/>
    <w:rsid w:val="008E1FD2"/>
    <w:rsid w:val="008E4776"/>
    <w:rsid w:val="008E523F"/>
    <w:rsid w:val="008E5E9D"/>
    <w:rsid w:val="008E6DE5"/>
    <w:rsid w:val="008F19B9"/>
    <w:rsid w:val="008F1CD7"/>
    <w:rsid w:val="008F4241"/>
    <w:rsid w:val="008F4C43"/>
    <w:rsid w:val="008F583F"/>
    <w:rsid w:val="00902873"/>
    <w:rsid w:val="009037F9"/>
    <w:rsid w:val="009064D6"/>
    <w:rsid w:val="00906BD8"/>
    <w:rsid w:val="00912BB0"/>
    <w:rsid w:val="00913010"/>
    <w:rsid w:val="00913FB7"/>
    <w:rsid w:val="0091515F"/>
    <w:rsid w:val="0091589B"/>
    <w:rsid w:val="00915C8F"/>
    <w:rsid w:val="00915D94"/>
    <w:rsid w:val="00917344"/>
    <w:rsid w:val="00923333"/>
    <w:rsid w:val="00925FD6"/>
    <w:rsid w:val="0093048F"/>
    <w:rsid w:val="0093367A"/>
    <w:rsid w:val="009351E6"/>
    <w:rsid w:val="0093686A"/>
    <w:rsid w:val="009420B9"/>
    <w:rsid w:val="009427D9"/>
    <w:rsid w:val="00946E7F"/>
    <w:rsid w:val="00950CDB"/>
    <w:rsid w:val="00951BB2"/>
    <w:rsid w:val="00951F88"/>
    <w:rsid w:val="009521C1"/>
    <w:rsid w:val="0095221C"/>
    <w:rsid w:val="00952302"/>
    <w:rsid w:val="00953751"/>
    <w:rsid w:val="009563EB"/>
    <w:rsid w:val="00957710"/>
    <w:rsid w:val="00957D40"/>
    <w:rsid w:val="00963E52"/>
    <w:rsid w:val="0096562C"/>
    <w:rsid w:val="009726C8"/>
    <w:rsid w:val="009743B8"/>
    <w:rsid w:val="00980642"/>
    <w:rsid w:val="009811DC"/>
    <w:rsid w:val="00984805"/>
    <w:rsid w:val="0099019A"/>
    <w:rsid w:val="0099567F"/>
    <w:rsid w:val="00995DCA"/>
    <w:rsid w:val="00995EE8"/>
    <w:rsid w:val="00996E40"/>
    <w:rsid w:val="00997AC5"/>
    <w:rsid w:val="00997EC9"/>
    <w:rsid w:val="009A0103"/>
    <w:rsid w:val="009A028B"/>
    <w:rsid w:val="009A0586"/>
    <w:rsid w:val="009A08E8"/>
    <w:rsid w:val="009A1AB7"/>
    <w:rsid w:val="009A376D"/>
    <w:rsid w:val="009A65E7"/>
    <w:rsid w:val="009B5327"/>
    <w:rsid w:val="009B64F0"/>
    <w:rsid w:val="009B6661"/>
    <w:rsid w:val="009C3205"/>
    <w:rsid w:val="009C3861"/>
    <w:rsid w:val="009C65F2"/>
    <w:rsid w:val="009D0D6F"/>
    <w:rsid w:val="009D3D0B"/>
    <w:rsid w:val="009E10E9"/>
    <w:rsid w:val="009E6D84"/>
    <w:rsid w:val="009E740E"/>
    <w:rsid w:val="009E7A38"/>
    <w:rsid w:val="009E7E17"/>
    <w:rsid w:val="009F0F55"/>
    <w:rsid w:val="009F5C06"/>
    <w:rsid w:val="009F7121"/>
    <w:rsid w:val="009F7B8D"/>
    <w:rsid w:val="00A15857"/>
    <w:rsid w:val="00A16CD6"/>
    <w:rsid w:val="00A209BF"/>
    <w:rsid w:val="00A22817"/>
    <w:rsid w:val="00A23AE3"/>
    <w:rsid w:val="00A23C3B"/>
    <w:rsid w:val="00A24CB3"/>
    <w:rsid w:val="00A252B2"/>
    <w:rsid w:val="00A263F0"/>
    <w:rsid w:val="00A26F1C"/>
    <w:rsid w:val="00A2716D"/>
    <w:rsid w:val="00A30F98"/>
    <w:rsid w:val="00A30FA0"/>
    <w:rsid w:val="00A31DD8"/>
    <w:rsid w:val="00A3212C"/>
    <w:rsid w:val="00A32EEE"/>
    <w:rsid w:val="00A371AD"/>
    <w:rsid w:val="00A37E36"/>
    <w:rsid w:val="00A40E72"/>
    <w:rsid w:val="00A43825"/>
    <w:rsid w:val="00A44CAB"/>
    <w:rsid w:val="00A4545F"/>
    <w:rsid w:val="00A46B58"/>
    <w:rsid w:val="00A4796D"/>
    <w:rsid w:val="00A54EE2"/>
    <w:rsid w:val="00A5696E"/>
    <w:rsid w:val="00A63B0D"/>
    <w:rsid w:val="00A6458B"/>
    <w:rsid w:val="00A65B0A"/>
    <w:rsid w:val="00A718C7"/>
    <w:rsid w:val="00A73CAC"/>
    <w:rsid w:val="00A74D0A"/>
    <w:rsid w:val="00A764C2"/>
    <w:rsid w:val="00A773BF"/>
    <w:rsid w:val="00A837F2"/>
    <w:rsid w:val="00A87875"/>
    <w:rsid w:val="00A87914"/>
    <w:rsid w:val="00A91F64"/>
    <w:rsid w:val="00AA089B"/>
    <w:rsid w:val="00AA2C95"/>
    <w:rsid w:val="00AA38A8"/>
    <w:rsid w:val="00AA442D"/>
    <w:rsid w:val="00AA5E78"/>
    <w:rsid w:val="00AB1284"/>
    <w:rsid w:val="00AB14A5"/>
    <w:rsid w:val="00AB2288"/>
    <w:rsid w:val="00AB67BF"/>
    <w:rsid w:val="00AB6F05"/>
    <w:rsid w:val="00AC0E11"/>
    <w:rsid w:val="00AC177F"/>
    <w:rsid w:val="00AC1826"/>
    <w:rsid w:val="00AC201F"/>
    <w:rsid w:val="00AC3164"/>
    <w:rsid w:val="00AC3897"/>
    <w:rsid w:val="00AC3B27"/>
    <w:rsid w:val="00AC74D7"/>
    <w:rsid w:val="00AD118C"/>
    <w:rsid w:val="00AD16FB"/>
    <w:rsid w:val="00AD6B6C"/>
    <w:rsid w:val="00AD7FD4"/>
    <w:rsid w:val="00AF2DE5"/>
    <w:rsid w:val="00AF3EA2"/>
    <w:rsid w:val="00B03B52"/>
    <w:rsid w:val="00B04A88"/>
    <w:rsid w:val="00B04B6A"/>
    <w:rsid w:val="00B05270"/>
    <w:rsid w:val="00B073E8"/>
    <w:rsid w:val="00B07CCC"/>
    <w:rsid w:val="00B11A7F"/>
    <w:rsid w:val="00B12187"/>
    <w:rsid w:val="00B143FF"/>
    <w:rsid w:val="00B1663B"/>
    <w:rsid w:val="00B1663E"/>
    <w:rsid w:val="00B20921"/>
    <w:rsid w:val="00B21CC0"/>
    <w:rsid w:val="00B32B15"/>
    <w:rsid w:val="00B353D1"/>
    <w:rsid w:val="00B37110"/>
    <w:rsid w:val="00B43F22"/>
    <w:rsid w:val="00B44659"/>
    <w:rsid w:val="00B44F0F"/>
    <w:rsid w:val="00B5235A"/>
    <w:rsid w:val="00B52854"/>
    <w:rsid w:val="00B53692"/>
    <w:rsid w:val="00B64621"/>
    <w:rsid w:val="00B649B5"/>
    <w:rsid w:val="00B702A5"/>
    <w:rsid w:val="00B719D1"/>
    <w:rsid w:val="00B72A16"/>
    <w:rsid w:val="00B755B0"/>
    <w:rsid w:val="00B762B2"/>
    <w:rsid w:val="00B77FC2"/>
    <w:rsid w:val="00B813F7"/>
    <w:rsid w:val="00B82808"/>
    <w:rsid w:val="00B8623F"/>
    <w:rsid w:val="00B90A44"/>
    <w:rsid w:val="00B91AE5"/>
    <w:rsid w:val="00B926AF"/>
    <w:rsid w:val="00B92824"/>
    <w:rsid w:val="00B95036"/>
    <w:rsid w:val="00B96484"/>
    <w:rsid w:val="00BA0847"/>
    <w:rsid w:val="00BA389D"/>
    <w:rsid w:val="00BA54AD"/>
    <w:rsid w:val="00BB20B5"/>
    <w:rsid w:val="00BB3019"/>
    <w:rsid w:val="00BB77B2"/>
    <w:rsid w:val="00BC0417"/>
    <w:rsid w:val="00BC1AA3"/>
    <w:rsid w:val="00BC3E47"/>
    <w:rsid w:val="00BC3F8B"/>
    <w:rsid w:val="00BC7ED5"/>
    <w:rsid w:val="00BD0269"/>
    <w:rsid w:val="00BD2A91"/>
    <w:rsid w:val="00BD44F5"/>
    <w:rsid w:val="00BD5F69"/>
    <w:rsid w:val="00BD7142"/>
    <w:rsid w:val="00BE1D29"/>
    <w:rsid w:val="00BE59D8"/>
    <w:rsid w:val="00BE6A87"/>
    <w:rsid w:val="00BF65B5"/>
    <w:rsid w:val="00BF758B"/>
    <w:rsid w:val="00C047BA"/>
    <w:rsid w:val="00C04D4C"/>
    <w:rsid w:val="00C056C2"/>
    <w:rsid w:val="00C105EF"/>
    <w:rsid w:val="00C10718"/>
    <w:rsid w:val="00C13C76"/>
    <w:rsid w:val="00C14619"/>
    <w:rsid w:val="00C15897"/>
    <w:rsid w:val="00C1727B"/>
    <w:rsid w:val="00C21409"/>
    <w:rsid w:val="00C21511"/>
    <w:rsid w:val="00C23140"/>
    <w:rsid w:val="00C23952"/>
    <w:rsid w:val="00C25A52"/>
    <w:rsid w:val="00C317FB"/>
    <w:rsid w:val="00C31B5C"/>
    <w:rsid w:val="00C32010"/>
    <w:rsid w:val="00C325F6"/>
    <w:rsid w:val="00C37187"/>
    <w:rsid w:val="00C41CB3"/>
    <w:rsid w:val="00C42433"/>
    <w:rsid w:val="00C43179"/>
    <w:rsid w:val="00C435FF"/>
    <w:rsid w:val="00C46B76"/>
    <w:rsid w:val="00C471A5"/>
    <w:rsid w:val="00C53196"/>
    <w:rsid w:val="00C578FE"/>
    <w:rsid w:val="00C608CF"/>
    <w:rsid w:val="00C6505A"/>
    <w:rsid w:val="00C6765F"/>
    <w:rsid w:val="00C7019B"/>
    <w:rsid w:val="00C710AE"/>
    <w:rsid w:val="00C74401"/>
    <w:rsid w:val="00C75F80"/>
    <w:rsid w:val="00C777E3"/>
    <w:rsid w:val="00C77A95"/>
    <w:rsid w:val="00C8008F"/>
    <w:rsid w:val="00C829A0"/>
    <w:rsid w:val="00C86FEC"/>
    <w:rsid w:val="00C90E07"/>
    <w:rsid w:val="00C928FD"/>
    <w:rsid w:val="00C9439A"/>
    <w:rsid w:val="00CA2EF3"/>
    <w:rsid w:val="00CA39F0"/>
    <w:rsid w:val="00CB0E8A"/>
    <w:rsid w:val="00CB23C6"/>
    <w:rsid w:val="00CB374C"/>
    <w:rsid w:val="00CB42BD"/>
    <w:rsid w:val="00CB7417"/>
    <w:rsid w:val="00CC0D16"/>
    <w:rsid w:val="00CC186C"/>
    <w:rsid w:val="00CC7DD2"/>
    <w:rsid w:val="00CD25BE"/>
    <w:rsid w:val="00CD36C3"/>
    <w:rsid w:val="00CD561C"/>
    <w:rsid w:val="00CE57ED"/>
    <w:rsid w:val="00CE73A8"/>
    <w:rsid w:val="00CF095E"/>
    <w:rsid w:val="00D011D0"/>
    <w:rsid w:val="00D01F92"/>
    <w:rsid w:val="00D045C6"/>
    <w:rsid w:val="00D0484B"/>
    <w:rsid w:val="00D056AC"/>
    <w:rsid w:val="00D10DD4"/>
    <w:rsid w:val="00D1193E"/>
    <w:rsid w:val="00D11E8D"/>
    <w:rsid w:val="00D12CB0"/>
    <w:rsid w:val="00D14B42"/>
    <w:rsid w:val="00D2267F"/>
    <w:rsid w:val="00D231A8"/>
    <w:rsid w:val="00D23279"/>
    <w:rsid w:val="00D24A53"/>
    <w:rsid w:val="00D24E52"/>
    <w:rsid w:val="00D3053A"/>
    <w:rsid w:val="00D307D8"/>
    <w:rsid w:val="00D310C5"/>
    <w:rsid w:val="00D31216"/>
    <w:rsid w:val="00D34E4B"/>
    <w:rsid w:val="00D4437C"/>
    <w:rsid w:val="00D45F76"/>
    <w:rsid w:val="00D475CC"/>
    <w:rsid w:val="00D5400C"/>
    <w:rsid w:val="00D54EDA"/>
    <w:rsid w:val="00D57770"/>
    <w:rsid w:val="00D634AA"/>
    <w:rsid w:val="00D65F36"/>
    <w:rsid w:val="00D676F7"/>
    <w:rsid w:val="00D72D40"/>
    <w:rsid w:val="00D73C03"/>
    <w:rsid w:val="00D73C48"/>
    <w:rsid w:val="00D766C5"/>
    <w:rsid w:val="00D77886"/>
    <w:rsid w:val="00D817CA"/>
    <w:rsid w:val="00D83ECC"/>
    <w:rsid w:val="00D84A15"/>
    <w:rsid w:val="00D85E5D"/>
    <w:rsid w:val="00D86A7E"/>
    <w:rsid w:val="00D9025A"/>
    <w:rsid w:val="00D90316"/>
    <w:rsid w:val="00D934BB"/>
    <w:rsid w:val="00D940E4"/>
    <w:rsid w:val="00D94887"/>
    <w:rsid w:val="00D9551C"/>
    <w:rsid w:val="00D95BF4"/>
    <w:rsid w:val="00D9751A"/>
    <w:rsid w:val="00DA2C43"/>
    <w:rsid w:val="00DA469A"/>
    <w:rsid w:val="00DA4882"/>
    <w:rsid w:val="00DA578F"/>
    <w:rsid w:val="00DB4E07"/>
    <w:rsid w:val="00DB69F6"/>
    <w:rsid w:val="00DB6B6D"/>
    <w:rsid w:val="00DC072B"/>
    <w:rsid w:val="00DC49A5"/>
    <w:rsid w:val="00DD0EEE"/>
    <w:rsid w:val="00DD0FAC"/>
    <w:rsid w:val="00DD416E"/>
    <w:rsid w:val="00DD6196"/>
    <w:rsid w:val="00DE6EA0"/>
    <w:rsid w:val="00DF0A07"/>
    <w:rsid w:val="00DF7D6D"/>
    <w:rsid w:val="00E0001E"/>
    <w:rsid w:val="00E028A4"/>
    <w:rsid w:val="00E1243C"/>
    <w:rsid w:val="00E126B4"/>
    <w:rsid w:val="00E1607C"/>
    <w:rsid w:val="00E160EE"/>
    <w:rsid w:val="00E201F8"/>
    <w:rsid w:val="00E2149F"/>
    <w:rsid w:val="00E2352A"/>
    <w:rsid w:val="00E26535"/>
    <w:rsid w:val="00E313A4"/>
    <w:rsid w:val="00E33BE0"/>
    <w:rsid w:val="00E34B5D"/>
    <w:rsid w:val="00E431EF"/>
    <w:rsid w:val="00E45FF1"/>
    <w:rsid w:val="00E51102"/>
    <w:rsid w:val="00E5133A"/>
    <w:rsid w:val="00E53207"/>
    <w:rsid w:val="00E542F7"/>
    <w:rsid w:val="00E5549D"/>
    <w:rsid w:val="00E55C63"/>
    <w:rsid w:val="00E57950"/>
    <w:rsid w:val="00E64797"/>
    <w:rsid w:val="00E7120A"/>
    <w:rsid w:val="00E77469"/>
    <w:rsid w:val="00E77561"/>
    <w:rsid w:val="00E80C3D"/>
    <w:rsid w:val="00E81197"/>
    <w:rsid w:val="00E81A0B"/>
    <w:rsid w:val="00E82F4B"/>
    <w:rsid w:val="00E87491"/>
    <w:rsid w:val="00E9187F"/>
    <w:rsid w:val="00EA163E"/>
    <w:rsid w:val="00EA2800"/>
    <w:rsid w:val="00EA4D7B"/>
    <w:rsid w:val="00EA5F9A"/>
    <w:rsid w:val="00EA6696"/>
    <w:rsid w:val="00EB148D"/>
    <w:rsid w:val="00EC08C8"/>
    <w:rsid w:val="00EC1032"/>
    <w:rsid w:val="00EC333D"/>
    <w:rsid w:val="00EC386A"/>
    <w:rsid w:val="00EC3B71"/>
    <w:rsid w:val="00EC58DB"/>
    <w:rsid w:val="00EC5C7F"/>
    <w:rsid w:val="00EC631B"/>
    <w:rsid w:val="00EC7E33"/>
    <w:rsid w:val="00ED0720"/>
    <w:rsid w:val="00ED22E9"/>
    <w:rsid w:val="00ED35C8"/>
    <w:rsid w:val="00ED36A9"/>
    <w:rsid w:val="00ED42D6"/>
    <w:rsid w:val="00EE0180"/>
    <w:rsid w:val="00EE0BD2"/>
    <w:rsid w:val="00EE146C"/>
    <w:rsid w:val="00EE33D4"/>
    <w:rsid w:val="00EE51AE"/>
    <w:rsid w:val="00EE6EC4"/>
    <w:rsid w:val="00EE706B"/>
    <w:rsid w:val="00EE71D8"/>
    <w:rsid w:val="00EE7CE9"/>
    <w:rsid w:val="00F00F00"/>
    <w:rsid w:val="00F017BA"/>
    <w:rsid w:val="00F02526"/>
    <w:rsid w:val="00F0527B"/>
    <w:rsid w:val="00F121FA"/>
    <w:rsid w:val="00F14177"/>
    <w:rsid w:val="00F14702"/>
    <w:rsid w:val="00F1549A"/>
    <w:rsid w:val="00F155BF"/>
    <w:rsid w:val="00F17EA8"/>
    <w:rsid w:val="00F24DFA"/>
    <w:rsid w:val="00F24FD0"/>
    <w:rsid w:val="00F269AC"/>
    <w:rsid w:val="00F34B00"/>
    <w:rsid w:val="00F3506A"/>
    <w:rsid w:val="00F3606B"/>
    <w:rsid w:val="00F43894"/>
    <w:rsid w:val="00F4520A"/>
    <w:rsid w:val="00F455C3"/>
    <w:rsid w:val="00F45F3C"/>
    <w:rsid w:val="00F5155A"/>
    <w:rsid w:val="00F6211D"/>
    <w:rsid w:val="00F64D50"/>
    <w:rsid w:val="00F66204"/>
    <w:rsid w:val="00F71EDE"/>
    <w:rsid w:val="00F76C19"/>
    <w:rsid w:val="00F76E9A"/>
    <w:rsid w:val="00F7747E"/>
    <w:rsid w:val="00F81B2E"/>
    <w:rsid w:val="00F82AB1"/>
    <w:rsid w:val="00F83854"/>
    <w:rsid w:val="00F8732E"/>
    <w:rsid w:val="00F8746C"/>
    <w:rsid w:val="00F879EC"/>
    <w:rsid w:val="00F90025"/>
    <w:rsid w:val="00F9289E"/>
    <w:rsid w:val="00F930E1"/>
    <w:rsid w:val="00F93EF4"/>
    <w:rsid w:val="00F94060"/>
    <w:rsid w:val="00F95B99"/>
    <w:rsid w:val="00F966C4"/>
    <w:rsid w:val="00F97CF1"/>
    <w:rsid w:val="00FA37A8"/>
    <w:rsid w:val="00FA3C23"/>
    <w:rsid w:val="00FA3E88"/>
    <w:rsid w:val="00FA56BF"/>
    <w:rsid w:val="00FA5D4A"/>
    <w:rsid w:val="00FA66CB"/>
    <w:rsid w:val="00FA6D25"/>
    <w:rsid w:val="00FB00DB"/>
    <w:rsid w:val="00FB12D3"/>
    <w:rsid w:val="00FB607B"/>
    <w:rsid w:val="00FB6E9B"/>
    <w:rsid w:val="00FC28B1"/>
    <w:rsid w:val="00FC43D3"/>
    <w:rsid w:val="00FC5713"/>
    <w:rsid w:val="00FC7641"/>
    <w:rsid w:val="00FD202A"/>
    <w:rsid w:val="00FD31F6"/>
    <w:rsid w:val="00FD3507"/>
    <w:rsid w:val="00FD4E7C"/>
    <w:rsid w:val="00FD51A8"/>
    <w:rsid w:val="00FD61DE"/>
    <w:rsid w:val="00FE2B7E"/>
    <w:rsid w:val="00FE627D"/>
    <w:rsid w:val="00FF22E8"/>
    <w:rsid w:val="00FF3A16"/>
    <w:rsid w:val="00FF40E3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207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E53207"/>
    <w:pPr>
      <w:keepNext/>
      <w:outlineLvl w:val="2"/>
    </w:pPr>
    <w:rPr>
      <w:rFonts w:eastAsia="Arial Unicode MS" w:cs="Arial"/>
      <w:b/>
      <w:szCs w:val="12"/>
    </w:rPr>
  </w:style>
  <w:style w:type="paragraph" w:styleId="4">
    <w:name w:val="heading 4"/>
    <w:basedOn w:val="a"/>
    <w:next w:val="a"/>
    <w:link w:val="4Char"/>
    <w:semiHidden/>
    <w:unhideWhenUsed/>
    <w:qFormat/>
    <w:rsid w:val="00F350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F350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locked/>
    <w:rsid w:val="00E53207"/>
    <w:rPr>
      <w:rFonts w:eastAsia="Arial Unicode MS" w:cs="Arial"/>
      <w:b/>
      <w:sz w:val="24"/>
      <w:szCs w:val="12"/>
      <w:lang w:val="el-GR" w:eastAsia="el-GR" w:bidi="ar-SA"/>
    </w:rPr>
  </w:style>
  <w:style w:type="table" w:styleId="a3">
    <w:name w:val="Table Grid"/>
    <w:basedOn w:val="a1"/>
    <w:rsid w:val="00E5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5320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9567F"/>
  </w:style>
  <w:style w:type="paragraph" w:styleId="a6">
    <w:name w:val="Body Text"/>
    <w:basedOn w:val="a"/>
    <w:rsid w:val="00713B0B"/>
    <w:pPr>
      <w:jc w:val="both"/>
    </w:pPr>
    <w:rPr>
      <w:sz w:val="28"/>
    </w:rPr>
  </w:style>
  <w:style w:type="paragraph" w:customStyle="1" w:styleId="Default">
    <w:name w:val="Default"/>
    <w:uiPriority w:val="99"/>
    <w:rsid w:val="00727111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</w:rPr>
  </w:style>
  <w:style w:type="paragraph" w:customStyle="1" w:styleId="Char">
    <w:name w:val="Char"/>
    <w:basedOn w:val="a"/>
    <w:rsid w:val="00B04B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a"/>
    <w:rsid w:val="00B828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BA389D"/>
    <w:rPr>
      <w:rFonts w:ascii="Tahoma" w:hAnsi="Tahoma" w:cs="Tahoma"/>
      <w:sz w:val="16"/>
      <w:szCs w:val="16"/>
    </w:rPr>
  </w:style>
  <w:style w:type="paragraph" w:styleId="a8">
    <w:name w:val="List Paragraph"/>
    <w:aliases w:val="Δ_Πιν,List Paragraph1"/>
    <w:basedOn w:val="a"/>
    <w:link w:val="Char0"/>
    <w:uiPriority w:val="34"/>
    <w:qFormat/>
    <w:rsid w:val="00EC7E33"/>
    <w:pPr>
      <w:autoSpaceDE w:val="0"/>
      <w:autoSpaceDN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Char"/>
    <w:rsid w:val="005804F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804F8"/>
    <w:rPr>
      <w:sz w:val="24"/>
      <w:szCs w:val="24"/>
    </w:rPr>
  </w:style>
  <w:style w:type="paragraph" w:customStyle="1" w:styleId="21">
    <w:name w:val="Σώμα κείμενου με εσοχή 21"/>
    <w:basedOn w:val="a"/>
    <w:rsid w:val="005A13C8"/>
    <w:pPr>
      <w:widowControl w:val="0"/>
      <w:suppressAutoHyphens/>
      <w:autoSpaceDE w:val="0"/>
      <w:spacing w:line="200" w:lineRule="exact"/>
      <w:ind w:left="851" w:hanging="311"/>
    </w:pPr>
    <w:rPr>
      <w:b/>
      <w:color w:val="000000"/>
      <w:lang w:eastAsia="ar-SA"/>
    </w:rPr>
  </w:style>
  <w:style w:type="character" w:customStyle="1" w:styleId="4Char">
    <w:name w:val="Επικεφαλίδα 4 Char"/>
    <w:basedOn w:val="a0"/>
    <w:link w:val="4"/>
    <w:semiHidden/>
    <w:rsid w:val="00F3506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Char">
    <w:name w:val="Επικεφαλίδα 6 Char"/>
    <w:basedOn w:val="a0"/>
    <w:link w:val="6"/>
    <w:semiHidden/>
    <w:rsid w:val="00F3506A"/>
    <w:rPr>
      <w:rFonts w:ascii="Calibri" w:eastAsia="Times New Roman" w:hAnsi="Calibri" w:cs="Times New Roman"/>
      <w:b/>
      <w:bCs/>
      <w:sz w:val="22"/>
      <w:szCs w:val="22"/>
    </w:rPr>
  </w:style>
  <w:style w:type="paragraph" w:styleId="30">
    <w:name w:val="Body Text 3"/>
    <w:basedOn w:val="a"/>
    <w:link w:val="3Char0"/>
    <w:rsid w:val="00F3506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F3506A"/>
    <w:rPr>
      <w:sz w:val="16"/>
      <w:szCs w:val="16"/>
    </w:rPr>
  </w:style>
  <w:style w:type="paragraph" w:styleId="20">
    <w:name w:val="Body Text Indent 2"/>
    <w:basedOn w:val="a"/>
    <w:link w:val="2Char0"/>
    <w:rsid w:val="00F3506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rsid w:val="00F3506A"/>
    <w:rPr>
      <w:sz w:val="24"/>
      <w:szCs w:val="24"/>
    </w:rPr>
  </w:style>
  <w:style w:type="paragraph" w:styleId="31">
    <w:name w:val="Body Text Indent 3"/>
    <w:basedOn w:val="a"/>
    <w:link w:val="3Char1"/>
    <w:rsid w:val="00F3506A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F3506A"/>
    <w:rPr>
      <w:sz w:val="16"/>
      <w:szCs w:val="16"/>
    </w:rPr>
  </w:style>
  <w:style w:type="character" w:customStyle="1" w:styleId="Char0">
    <w:name w:val="Παράγραφος λίστας Char"/>
    <w:aliases w:val="Δ_Πιν Char,List Paragraph1 Char"/>
    <w:link w:val="a8"/>
    <w:uiPriority w:val="34"/>
    <w:rsid w:val="00F3506A"/>
    <w:rPr>
      <w:rFonts w:ascii="Calibri" w:hAnsi="Calibri" w:cs="Calibri"/>
      <w:sz w:val="22"/>
      <w:szCs w:val="22"/>
    </w:rPr>
  </w:style>
  <w:style w:type="paragraph" w:styleId="a9">
    <w:name w:val="Title"/>
    <w:basedOn w:val="a"/>
    <w:next w:val="a"/>
    <w:link w:val="Char1"/>
    <w:uiPriority w:val="99"/>
    <w:qFormat/>
    <w:rsid w:val="00F3506A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character" w:customStyle="1" w:styleId="Char1">
    <w:name w:val="Τίτλος Char"/>
    <w:basedOn w:val="a0"/>
    <w:link w:val="a9"/>
    <w:uiPriority w:val="99"/>
    <w:rsid w:val="00F3506A"/>
    <w:rPr>
      <w:rFonts w:ascii="Cambria" w:hAnsi="Cambria"/>
      <w:caps/>
      <w:color w:val="632423"/>
      <w:spacing w:val="50"/>
      <w:sz w:val="44"/>
      <w:szCs w:val="44"/>
      <w:lang w:val="en-US" w:eastAsia="en-US" w:bidi="en-US"/>
    </w:rPr>
  </w:style>
  <w:style w:type="paragraph" w:customStyle="1" w:styleId="font5">
    <w:name w:val="font5"/>
    <w:basedOn w:val="a"/>
    <w:uiPriority w:val="99"/>
    <w:rsid w:val="00F3506A"/>
    <w:pPr>
      <w:snapToGrid w:val="0"/>
      <w:spacing w:before="100" w:beforeAutospacing="1" w:after="100" w:afterAutospacing="1" w:line="251" w:lineRule="auto"/>
      <w:jc w:val="both"/>
    </w:pPr>
    <w:rPr>
      <w:rFonts w:ascii="Arial" w:hAnsi="Arial" w:cs="Arial"/>
      <w:b/>
      <w:bCs/>
      <w:color w:val="000000"/>
      <w:sz w:val="22"/>
      <w:szCs w:val="22"/>
      <w:lang w:val="en-US" w:eastAsia="en-US" w:bidi="en-US"/>
    </w:rPr>
  </w:style>
  <w:style w:type="paragraph" w:customStyle="1" w:styleId="normalwithoutspacing">
    <w:name w:val="normal_without_spacing"/>
    <w:basedOn w:val="a"/>
    <w:rsid w:val="0022117E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styleId="Web">
    <w:name w:val="Normal (Web)"/>
    <w:basedOn w:val="a"/>
    <w:uiPriority w:val="99"/>
    <w:rsid w:val="0022117E"/>
    <w:pPr>
      <w:spacing w:before="100" w:beforeAutospacing="1" w:after="100" w:afterAutospacing="1" w:line="251" w:lineRule="auto"/>
    </w:pPr>
    <w:rPr>
      <w:rFonts w:ascii="Cambria" w:hAnsi="Cambria"/>
      <w:sz w:val="22"/>
      <w:szCs w:val="22"/>
      <w:lang w:val="en-US" w:eastAsia="en-US"/>
    </w:rPr>
  </w:style>
  <w:style w:type="paragraph" w:customStyle="1" w:styleId="210">
    <w:name w:val="Σώμα κείμενου 21"/>
    <w:basedOn w:val="a"/>
    <w:rsid w:val="00274B2E"/>
    <w:pPr>
      <w:widowControl w:val="0"/>
      <w:tabs>
        <w:tab w:val="left" w:pos="-720"/>
      </w:tabs>
      <w:suppressAutoHyphens/>
      <w:spacing w:line="100" w:lineRule="atLeast"/>
      <w:jc w:val="both"/>
    </w:pPr>
    <w:rPr>
      <w:rFonts w:ascii="Courier New" w:hAnsi="Courier New"/>
      <w:color w:val="000000"/>
      <w:spacing w:val="-3"/>
      <w:szCs w:val="20"/>
      <w:lang w:val="en-US"/>
    </w:rPr>
  </w:style>
  <w:style w:type="paragraph" w:customStyle="1" w:styleId="Normal">
    <w:name w:val="_Normal"/>
    <w:rsid w:val="00274B2E"/>
    <w:pPr>
      <w:widowControl w:val="0"/>
      <w:suppressAutoHyphens/>
      <w:spacing w:after="200" w:line="276" w:lineRule="auto"/>
      <w:ind w:right="-57"/>
    </w:pPr>
    <w:rPr>
      <w:rFonts w:ascii="Calibri" w:eastAsia="Droid Sans Fallback" w:hAnsi="Calibri" w:cs="Calibri"/>
      <w:color w:val="00000A"/>
      <w:sz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2329</Words>
  <Characters>14086</Characters>
  <Application>Microsoft Office Word</Application>
  <DocSecurity>0</DocSecurity>
  <Lines>117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Ν. Αγρινίου</dc:creator>
  <cp:lastModifiedBy>user</cp:lastModifiedBy>
  <cp:revision>13</cp:revision>
  <cp:lastPrinted>2023-09-26T08:47:00Z</cp:lastPrinted>
  <dcterms:created xsi:type="dcterms:W3CDTF">2023-09-26T08:45:00Z</dcterms:created>
  <dcterms:modified xsi:type="dcterms:W3CDTF">2025-03-07T10:06:00Z</dcterms:modified>
</cp:coreProperties>
</file>